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426" w:type="dxa"/>
        <w:tblCellMar>
          <w:left w:w="10" w:type="dxa"/>
          <w:right w:w="10" w:type="dxa"/>
        </w:tblCellMar>
        <w:tblLook w:val="04A0" w:firstRow="1" w:lastRow="0" w:firstColumn="1" w:lastColumn="0" w:noHBand="0" w:noVBand="1"/>
      </w:tblPr>
      <w:tblGrid>
        <w:gridCol w:w="4111"/>
        <w:gridCol w:w="5812"/>
      </w:tblGrid>
      <w:tr w:rsidR="00816167" w:rsidRPr="00C02782" w14:paraId="0C323B68" w14:textId="77777777" w:rsidTr="00706AA5">
        <w:tc>
          <w:tcPr>
            <w:tcW w:w="4111" w:type="dxa"/>
          </w:tcPr>
          <w:p w14:paraId="60114ADE" w14:textId="77777777" w:rsidR="00816167" w:rsidRPr="00C02782" w:rsidRDefault="006D16DD" w:rsidP="00706AA5">
            <w:pPr>
              <w:snapToGrid w:val="0"/>
              <w:jc w:val="center"/>
              <w:rPr>
                <w:color w:val="000000" w:themeColor="text1"/>
              </w:rPr>
            </w:pPr>
            <w:r w:rsidRPr="00C02782">
              <w:rPr>
                <w:b/>
                <w:bCs/>
                <w:color w:val="000000" w:themeColor="text1"/>
                <w:sz w:val="26"/>
                <w:szCs w:val="26"/>
              </w:rPr>
              <w:t>BỘ GIÁO DỤC VÀ ĐÀO TẠO</w:t>
            </w:r>
          </w:p>
          <w:p w14:paraId="1271FE18" w14:textId="77777777" w:rsidR="00706AA5" w:rsidRPr="00C02782" w:rsidRDefault="00706AA5" w:rsidP="00706AA5">
            <w:pPr>
              <w:snapToGrid w:val="0"/>
              <w:jc w:val="center"/>
              <w:rPr>
                <w:color w:val="000000" w:themeColor="text1"/>
                <w:sz w:val="26"/>
                <w:szCs w:val="26"/>
              </w:rPr>
            </w:pPr>
            <w:r w:rsidRPr="00C02782">
              <w:rPr>
                <w:b/>
                <w:bCs/>
                <w:noProof/>
                <w:color w:val="000000" w:themeColor="text1"/>
                <w:sz w:val="26"/>
                <w:szCs w:val="26"/>
              </w:rPr>
              <mc:AlternateContent>
                <mc:Choice Requires="wps">
                  <w:drawing>
                    <wp:anchor distT="0" distB="0" distL="114300" distR="114300" simplePos="0" relativeHeight="251659264" behindDoc="0" locked="0" layoutInCell="1" allowOverlap="1" wp14:anchorId="02C468E8" wp14:editId="18439ECA">
                      <wp:simplePos x="0" y="0"/>
                      <wp:positionH relativeFrom="column">
                        <wp:posOffset>660603</wp:posOffset>
                      </wp:positionH>
                      <wp:positionV relativeFrom="paragraph">
                        <wp:posOffset>33020</wp:posOffset>
                      </wp:positionV>
                      <wp:extent cx="1250950" cy="0"/>
                      <wp:effectExtent l="0" t="0" r="6350" b="12700"/>
                      <wp:wrapNone/>
                      <wp:docPr id="616767658" name="Straight Connector 5"/>
                      <wp:cNvGraphicFramePr/>
                      <a:graphic xmlns:a="http://schemas.openxmlformats.org/drawingml/2006/main">
                        <a:graphicData uri="http://schemas.microsoft.com/office/word/2010/wordprocessingShape">
                          <wps:wsp>
                            <wps:cNvCnPr/>
                            <wps:spPr>
                              <a:xfrm>
                                <a:off x="0" y="0"/>
                                <a:ext cx="1250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1ABC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pt,2.6pt" to="150.5pt,2.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izAUmAEAAIgDAAAOAAAAZHJzL2Uyb0RvYy54bWysU9uO0zAQfUfiHyy/06SVFkHUdB92BS8I Vlw+wOuMG2ttjzU2Tfr3jN02RYAQQvvi+HLOmTkzk+3t7J04ACWLoZfrVSsFBI2DDftefvv67tUb KVJWYVAOA/TyCEne7l6+2E6xgw2O6AYgwSIhdVPs5Zhz7Jom6RG8SiuMEPjRIHmV+Uj7ZiA1sbp3 zaZtXzcT0hAJNaTEt/enR7mr+saAzp+MSZCF6yXnlutKdX0sa7Pbqm5PKo5Wn9NQ/5GFVzZw0EXq XmUlvpP9TcpbTZjQ5JVG36AxVkP1wG7W7S9uvowqQvXCxUlxKVN6Pln98XAXHojLMMXUpfhAxcVs yJcv5yfmWqzjUiyYs9B8ud7ctG9vuKb68tZciZFSfg/oRdn00tlQfKhOHT6kzMEYeoHw4Rq67vLR QQG78BmMsEMJVtl1KuDOkTgo7ufwtC79Y62KLBRjnVtI7d9JZ2yhQZ2UfyUu6BoRQ16I3gakP0XN 8yVVc8JfXJ+8FtuPOBxrI2o5uN3V2Xk0yzz9fK706w+0+wEAAP//AwBQSwMEFAAGAAgAAAAhAGQN IEzdAAAADAEAAA8AAABkcnMvZG93bnJldi54bWxMj8FOwzAQRO9I/IO1SFwQtdsCRWmcKgL1A2g5 cHTjJY5qr0PspuHvWbjQy0pPo5mdKTdT8GLEIXWRNMxnCgRSE21HrYb3/fb+GUTKhqzxkVDDNybY VNdXpSlsPNMbjrvcCg6hVBgNLue+kDI1DoNJs9gjsfYZh2Ay49BKO5gzhwcvF0o9yWA64g/O9Pji sDnuTkHD/mOF1t35ejRftaV2eey2K6X17c30uuZTr0FknPK/A343cH+ouNghnsgm4ZnVAw/KGh4X IFhfqjnz4Y9lVcrLEdUPAAAA//8DAFBLAQItABQABgAIAAAAIQC2gziS/gAAAOEBAAATAAAAAAAA AAAAAAAAAAAAAABbQ29udGVudF9UeXBlc10ueG1sUEsBAi0AFAAGAAgAAAAhADj9If/WAAAAlAEA AAsAAAAAAAAAAAAAAAAALwEAAF9yZWxzLy5yZWxzUEsBAi0AFAAGAAgAAAAhAHyLMBSYAQAAiAMA AA4AAAAAAAAAAAAAAAAALgIAAGRycy9lMm9Eb2MueG1sUEsBAi0AFAAGAAgAAAAhAGQNIEzdAAAA DAEAAA8AAAAAAAAAAAAAAAAA8gMAAGRycy9kb3ducmV2LnhtbFBLBQYAAAAABAAEAPMAAAD8BAAA AAA= " strokecolor="black [3200]" strokeweight="1pt">
                      <v:stroke joinstyle="miter"/>
                    </v:line>
                  </w:pict>
                </mc:Fallback>
              </mc:AlternateContent>
            </w:r>
          </w:p>
          <w:p w14:paraId="3A2D9139" w14:textId="77777777" w:rsidR="00706AA5" w:rsidRPr="00C02782" w:rsidRDefault="00706AA5" w:rsidP="00706AA5">
            <w:pPr>
              <w:snapToGrid w:val="0"/>
              <w:jc w:val="center"/>
              <w:rPr>
                <w:color w:val="000000" w:themeColor="text1"/>
                <w:sz w:val="26"/>
                <w:szCs w:val="26"/>
              </w:rPr>
            </w:pPr>
          </w:p>
          <w:p w14:paraId="0128FB85" w14:textId="77777777" w:rsidR="00816167" w:rsidRPr="00C02782" w:rsidRDefault="006D16DD" w:rsidP="00706AA5">
            <w:pPr>
              <w:snapToGrid w:val="0"/>
              <w:jc w:val="center"/>
              <w:rPr>
                <w:color w:val="000000" w:themeColor="text1"/>
              </w:rPr>
            </w:pPr>
            <w:r w:rsidRPr="00C02782">
              <w:rPr>
                <w:color w:val="000000" w:themeColor="text1"/>
                <w:sz w:val="26"/>
                <w:szCs w:val="26"/>
              </w:rPr>
              <w:t>Số:      /2026/TT-BGDĐT</w:t>
            </w:r>
          </w:p>
        </w:tc>
        <w:tc>
          <w:tcPr>
            <w:tcW w:w="5812" w:type="dxa"/>
          </w:tcPr>
          <w:p w14:paraId="1C45DF8E" w14:textId="77777777" w:rsidR="00816167" w:rsidRPr="00C02782" w:rsidRDefault="006D16DD" w:rsidP="00706AA5">
            <w:pPr>
              <w:snapToGrid w:val="0"/>
              <w:jc w:val="center"/>
              <w:rPr>
                <w:color w:val="000000" w:themeColor="text1"/>
              </w:rPr>
            </w:pPr>
            <w:r w:rsidRPr="00C02782">
              <w:rPr>
                <w:b/>
                <w:bCs/>
                <w:color w:val="000000" w:themeColor="text1"/>
                <w:sz w:val="26"/>
                <w:szCs w:val="26"/>
              </w:rPr>
              <w:t>CỘNG HÒA XÃ HỘI CHỦ NGHĨA VIỆT NAM</w:t>
            </w:r>
          </w:p>
          <w:p w14:paraId="3F9E13F1" w14:textId="77777777" w:rsidR="00816167" w:rsidRPr="00C02782" w:rsidRDefault="006D16DD" w:rsidP="00706AA5">
            <w:pPr>
              <w:snapToGrid w:val="0"/>
              <w:jc w:val="center"/>
              <w:rPr>
                <w:color w:val="000000" w:themeColor="text1"/>
              </w:rPr>
            </w:pPr>
            <w:r w:rsidRPr="00C02782">
              <w:rPr>
                <w:b/>
                <w:bCs/>
                <w:color w:val="000000" w:themeColor="text1"/>
                <w:sz w:val="26"/>
                <w:szCs w:val="26"/>
              </w:rPr>
              <w:t>Độc lập - Tự do - Hạnh phúc</w:t>
            </w:r>
          </w:p>
          <w:p w14:paraId="2E6FE339" w14:textId="77777777" w:rsidR="00706AA5" w:rsidRPr="00C02782" w:rsidRDefault="00706AA5" w:rsidP="00706AA5">
            <w:pPr>
              <w:snapToGrid w:val="0"/>
              <w:jc w:val="center"/>
              <w:rPr>
                <w:color w:val="000000" w:themeColor="text1"/>
                <w:sz w:val="26"/>
                <w:szCs w:val="26"/>
              </w:rPr>
            </w:pPr>
            <w:r w:rsidRPr="00C02782">
              <w:rPr>
                <w:b/>
                <w:bCs/>
                <w:noProof/>
                <w:color w:val="000000" w:themeColor="text1"/>
                <w:sz w:val="26"/>
                <w:szCs w:val="26"/>
              </w:rPr>
              <mc:AlternateContent>
                <mc:Choice Requires="wps">
                  <w:drawing>
                    <wp:anchor distT="0" distB="0" distL="114300" distR="114300" simplePos="0" relativeHeight="251661312" behindDoc="0" locked="0" layoutInCell="1" allowOverlap="1" wp14:anchorId="75A48566" wp14:editId="27E8C158">
                      <wp:simplePos x="0" y="0"/>
                      <wp:positionH relativeFrom="column">
                        <wp:posOffset>1246302</wp:posOffset>
                      </wp:positionH>
                      <wp:positionV relativeFrom="paragraph">
                        <wp:posOffset>33020</wp:posOffset>
                      </wp:positionV>
                      <wp:extent cx="1250950" cy="0"/>
                      <wp:effectExtent l="0" t="0" r="6350" b="12700"/>
                      <wp:wrapNone/>
                      <wp:docPr id="1569282664" name="Straight Connector 5"/>
                      <wp:cNvGraphicFramePr/>
                      <a:graphic xmlns:a="http://schemas.openxmlformats.org/drawingml/2006/main">
                        <a:graphicData uri="http://schemas.microsoft.com/office/word/2010/wordprocessingShape">
                          <wps:wsp>
                            <wps:cNvCnPr/>
                            <wps:spPr>
                              <a:xfrm>
                                <a:off x="0" y="0"/>
                                <a:ext cx="1250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7BCB51"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8.15pt,2.6pt" to="196.65pt,2.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izAUmAEAAIgDAAAOAAAAZHJzL2Uyb0RvYy54bWysU9uO0zAQfUfiHyy/06SVFkHUdB92BS8I Vlw+wOuMG2ttjzU2Tfr3jN02RYAQQvvi+HLOmTkzk+3t7J04ACWLoZfrVSsFBI2DDftefvv67tUb KVJWYVAOA/TyCEne7l6+2E6xgw2O6AYgwSIhdVPs5Zhz7Jom6RG8SiuMEPjRIHmV+Uj7ZiA1sbp3 zaZtXzcT0hAJNaTEt/enR7mr+saAzp+MSZCF6yXnlutKdX0sa7Pbqm5PKo5Wn9NQ/5GFVzZw0EXq XmUlvpP9TcpbTZjQ5JVG36AxVkP1wG7W7S9uvowqQvXCxUlxKVN6Pln98XAXHojLMMXUpfhAxcVs yJcv5yfmWqzjUiyYs9B8ud7ctG9vuKb68tZciZFSfg/oRdn00tlQfKhOHT6kzMEYeoHw4Rq67vLR QQG78BmMsEMJVtl1KuDOkTgo7ufwtC79Y62KLBRjnVtI7d9JZ2yhQZ2UfyUu6BoRQ16I3gakP0XN 8yVVc8JfXJ+8FtuPOBxrI2o5uN3V2Xk0yzz9fK706w+0+wEAAP//AwBQSwMEFAAGAAgAAAAhAF1Y cXndAAAADAEAAA8AAABkcnMvZG93bnJldi54bWxMj8FOwzAQRO9I/IO1SFwQdWhES9M4VQTqB7Tl wNGNlziqvQ6xm4a/Z+kFLis9ze7sTLmZvBMjDrELpOBploFAaoLpqFXwftg+voCISZPRLhAq+MYI m+r2ptSFCRfa4bhPrWATioVWYFPqCyljY9HrOAs9EmufYfA6MQ6tNIO+sLl3cp5lC+l1R/zB6h5f LTan/dkrOHws0dgHV4/6qzbU5qduu8yUur+b3tY86jWIhFP6u4DfDpwfKg52DGcyUTjm1SLnVQXP cxCs56uc+XhlWZXyf4nqBwAA//8DAFBLAQItABQABgAIAAAAIQC2gziS/gAAAOEBAAATAAAAAAAA AAAAAAAAAAAAAABbQ29udGVudF9UeXBlc10ueG1sUEsBAi0AFAAGAAgAAAAhADj9If/WAAAAlAEA AAsAAAAAAAAAAAAAAAAALwEAAF9yZWxzLy5yZWxzUEsBAi0AFAAGAAgAAAAhAHyLMBSYAQAAiAMA AA4AAAAAAAAAAAAAAAAALgIAAGRycy9lMm9Eb2MueG1sUEsBAi0AFAAGAAgAAAAhAF1YcXndAAAA DAEAAA8AAAAAAAAAAAAAAAAA8gMAAGRycy9kb3ducmV2LnhtbFBLBQYAAAAABAAEAPMAAAD8BAAA AAA= " strokecolor="black [3200]" strokeweight="1pt">
                      <v:stroke joinstyle="miter"/>
                    </v:line>
                  </w:pict>
                </mc:Fallback>
              </mc:AlternateContent>
            </w:r>
          </w:p>
          <w:p w14:paraId="156CDBA0" w14:textId="77777777" w:rsidR="00816167" w:rsidRPr="00C02782" w:rsidRDefault="006D16DD" w:rsidP="00706AA5">
            <w:pPr>
              <w:snapToGrid w:val="0"/>
              <w:jc w:val="center"/>
              <w:rPr>
                <w:color w:val="000000" w:themeColor="text1"/>
              </w:rPr>
            </w:pPr>
            <w:r w:rsidRPr="00C02782">
              <w:rPr>
                <w:i/>
                <w:iCs/>
                <w:color w:val="000000" w:themeColor="text1"/>
                <w:sz w:val="28"/>
                <w:szCs w:val="28"/>
              </w:rPr>
              <w:t>Hà Nội, ngày     tháng     năm 2026</w:t>
            </w:r>
          </w:p>
        </w:tc>
      </w:tr>
    </w:tbl>
    <w:p w14:paraId="7E1DB3AF" w14:textId="77777777" w:rsidR="00FA379F" w:rsidRPr="00C02782" w:rsidRDefault="00FA379F" w:rsidP="000C257D">
      <w:pPr>
        <w:spacing w:before="120" w:after="120"/>
        <w:jc w:val="center"/>
        <w:rPr>
          <w:color w:val="000000" w:themeColor="text1"/>
        </w:rPr>
      </w:pPr>
      <w:r w:rsidRPr="00C02782">
        <w:rPr>
          <w:b/>
          <w:bCs/>
          <w:color w:val="000000" w:themeColor="text1"/>
          <w:sz w:val="30"/>
          <w:szCs w:val="30"/>
        </w:rPr>
        <w:t>THÔNG TƯ</w:t>
      </w:r>
    </w:p>
    <w:p w14:paraId="54833589" w14:textId="77777777" w:rsidR="00FA379F" w:rsidRPr="00C02782" w:rsidRDefault="00FA379F" w:rsidP="000C257D">
      <w:pPr>
        <w:snapToGrid w:val="0"/>
        <w:jc w:val="center"/>
        <w:rPr>
          <w:color w:val="000000" w:themeColor="text1"/>
          <w:sz w:val="21"/>
          <w:szCs w:val="21"/>
        </w:rPr>
      </w:pPr>
      <w:r w:rsidRPr="00C02782">
        <w:rPr>
          <w:b/>
          <w:bCs/>
          <w:color w:val="000000" w:themeColor="text1"/>
          <w:sz w:val="28"/>
          <w:szCs w:val="28"/>
        </w:rPr>
        <w:t>Ban hành Quy chế Cuộc thi nghiên cứu khoa học, kỹ thuật cấp quốc gia</w:t>
      </w:r>
    </w:p>
    <w:p w14:paraId="48A9B770" w14:textId="77777777" w:rsidR="00FA379F" w:rsidRPr="00C02782" w:rsidRDefault="00FA379F" w:rsidP="000C257D">
      <w:pPr>
        <w:snapToGrid w:val="0"/>
        <w:jc w:val="center"/>
        <w:rPr>
          <w:color w:val="000000" w:themeColor="text1"/>
          <w:sz w:val="21"/>
          <w:szCs w:val="21"/>
        </w:rPr>
      </w:pPr>
      <w:r w:rsidRPr="00C02782">
        <w:rPr>
          <w:b/>
          <w:bCs/>
          <w:color w:val="000000" w:themeColor="text1"/>
          <w:sz w:val="28"/>
          <w:szCs w:val="28"/>
        </w:rPr>
        <w:t>dành cho học sinh trung học cơ sở và trung học phổ thông</w:t>
      </w:r>
    </w:p>
    <w:p w14:paraId="31EF2864" w14:textId="77777777" w:rsidR="00FA379F" w:rsidRPr="00C02782" w:rsidRDefault="00FA379F" w:rsidP="000C257D">
      <w:pPr>
        <w:shd w:val="clear" w:color="auto" w:fill="FFFFFF"/>
        <w:snapToGrid w:val="0"/>
        <w:spacing w:before="100" w:after="100"/>
        <w:ind w:firstLine="709"/>
        <w:jc w:val="both"/>
        <w:rPr>
          <w:i/>
          <w:iCs/>
          <w:color w:val="000000" w:themeColor="text1"/>
          <w:spacing w:val="4"/>
          <w:sz w:val="27"/>
          <w:szCs w:val="27"/>
        </w:rPr>
      </w:pPr>
      <w:r w:rsidRPr="00C02782">
        <w:rPr>
          <w:i/>
          <w:iCs/>
          <w:color w:val="000000" w:themeColor="text1"/>
          <w:spacing w:val="4"/>
          <w:sz w:val="27"/>
          <w:szCs w:val="27"/>
        </w:rPr>
        <w:t>Căn cứ Luật Giáo dục số 43/2019/QH14 được sửa đổi, bổ sung bởi Luật số 123/2025/QH15;</w:t>
      </w:r>
    </w:p>
    <w:p w14:paraId="3EED62F7" w14:textId="77777777" w:rsidR="00FA379F" w:rsidRPr="00C02782" w:rsidRDefault="00FA379F" w:rsidP="000C257D">
      <w:pPr>
        <w:snapToGrid w:val="0"/>
        <w:spacing w:before="100" w:after="100"/>
        <w:ind w:firstLine="709"/>
        <w:jc w:val="both"/>
        <w:rPr>
          <w:i/>
          <w:iCs/>
          <w:color w:val="000000" w:themeColor="text1"/>
          <w:spacing w:val="-6"/>
          <w:sz w:val="27"/>
          <w:szCs w:val="27"/>
        </w:rPr>
      </w:pPr>
      <w:r w:rsidRPr="00C02782">
        <w:rPr>
          <w:i/>
          <w:iCs/>
          <w:color w:val="000000" w:themeColor="text1"/>
          <w:spacing w:val="-6"/>
          <w:sz w:val="27"/>
          <w:szCs w:val="27"/>
        </w:rPr>
        <w:t>Căn cứ Nghị định số 279/2026/NĐ-CP ngày 12 tháng 7 năm 2026 của Chính phủ quy định chức năng, nhiệm vụ, quyền hạn và cơ cấu tổ chức của Bộ Giáo dục và Đào tạo;</w:t>
      </w:r>
    </w:p>
    <w:p w14:paraId="33FA6104" w14:textId="77777777" w:rsidR="00FA379F" w:rsidRPr="00C02782" w:rsidRDefault="00FA379F" w:rsidP="000C257D">
      <w:pPr>
        <w:snapToGrid w:val="0"/>
        <w:spacing w:before="100" w:after="100"/>
        <w:ind w:firstLine="709"/>
        <w:jc w:val="both"/>
        <w:rPr>
          <w:color w:val="000000" w:themeColor="text1"/>
          <w:sz w:val="27"/>
          <w:szCs w:val="27"/>
        </w:rPr>
      </w:pPr>
      <w:r w:rsidRPr="00C02782">
        <w:rPr>
          <w:i/>
          <w:iCs/>
          <w:color w:val="000000" w:themeColor="text1"/>
          <w:sz w:val="27"/>
          <w:szCs w:val="27"/>
        </w:rPr>
        <w:t>Theo đề nghị của Vụ trưởng Vụ Giáo dục Phổ thông;</w:t>
      </w:r>
    </w:p>
    <w:p w14:paraId="2768B4A4" w14:textId="77777777" w:rsidR="00FA379F" w:rsidRPr="00C02782" w:rsidRDefault="00FA379F" w:rsidP="000C257D">
      <w:pPr>
        <w:snapToGrid w:val="0"/>
        <w:spacing w:before="100" w:after="100"/>
        <w:ind w:firstLine="709"/>
        <w:jc w:val="both"/>
        <w:rPr>
          <w:color w:val="000000" w:themeColor="text1"/>
          <w:sz w:val="27"/>
          <w:szCs w:val="27"/>
        </w:rPr>
      </w:pPr>
      <w:r w:rsidRPr="00C02782">
        <w:rPr>
          <w:i/>
          <w:iCs/>
          <w:color w:val="000000" w:themeColor="text1"/>
          <w:sz w:val="27"/>
          <w:szCs w:val="27"/>
        </w:rPr>
        <w:t>Bộ trưởng Bộ Giáo dục và Đào tạo ban hành Thông tư ban hành Quy chế Cuộc thi nghiên cứu khoa học, kỹ thuật cấp quốc gia dành cho học sinh trung học cơ sở và trung học phổ thông.</w:t>
      </w:r>
    </w:p>
    <w:p w14:paraId="76E6B76A" w14:textId="77777777" w:rsidR="00FA379F" w:rsidRPr="00C02782" w:rsidRDefault="00FA379F" w:rsidP="000C257D">
      <w:pPr>
        <w:snapToGrid w:val="0"/>
        <w:spacing w:before="100" w:after="100"/>
        <w:ind w:firstLine="709"/>
        <w:jc w:val="both"/>
        <w:rPr>
          <w:color w:val="000000" w:themeColor="text1"/>
          <w:spacing w:val="-4"/>
          <w:sz w:val="27"/>
          <w:szCs w:val="27"/>
        </w:rPr>
      </w:pPr>
      <w:r w:rsidRPr="00C02782">
        <w:rPr>
          <w:b/>
          <w:bCs/>
          <w:color w:val="000000" w:themeColor="text1"/>
          <w:spacing w:val="-4"/>
          <w:sz w:val="27"/>
          <w:szCs w:val="27"/>
        </w:rPr>
        <w:t xml:space="preserve">Điều 1. </w:t>
      </w:r>
      <w:r w:rsidRPr="00C02782">
        <w:rPr>
          <w:color w:val="000000" w:themeColor="text1"/>
          <w:spacing w:val="-4"/>
          <w:sz w:val="27"/>
          <w:szCs w:val="27"/>
        </w:rPr>
        <w:t>Ban hành kèm theo Thông tư này Quy chế Cuộc thi nghiên cứu khoa học, kỹ thuật cấp quốc gia dành cho học sinh trung học cơ sở và trung học phổ thông.</w:t>
      </w:r>
    </w:p>
    <w:p w14:paraId="0C17546C" w14:textId="77777777" w:rsidR="00FA379F" w:rsidRPr="00C02782" w:rsidRDefault="00FA379F" w:rsidP="000C257D">
      <w:pPr>
        <w:snapToGrid w:val="0"/>
        <w:spacing w:before="100" w:after="100"/>
        <w:ind w:firstLine="709"/>
        <w:jc w:val="both"/>
        <w:rPr>
          <w:color w:val="000000" w:themeColor="text1"/>
          <w:sz w:val="27"/>
          <w:szCs w:val="27"/>
        </w:rPr>
      </w:pPr>
      <w:r w:rsidRPr="00C02782">
        <w:rPr>
          <w:b/>
          <w:bCs/>
          <w:color w:val="000000" w:themeColor="text1"/>
          <w:sz w:val="27"/>
          <w:szCs w:val="27"/>
        </w:rPr>
        <w:t>Điều 2. Hiệu lực thi hành</w:t>
      </w:r>
    </w:p>
    <w:p w14:paraId="760E70E6" w14:textId="77777777" w:rsidR="00FA379F" w:rsidRPr="00C02782" w:rsidRDefault="00FA379F" w:rsidP="000C257D">
      <w:pPr>
        <w:snapToGrid w:val="0"/>
        <w:spacing w:before="100" w:after="100"/>
        <w:ind w:firstLine="709"/>
        <w:jc w:val="both"/>
        <w:rPr>
          <w:color w:val="000000" w:themeColor="text1"/>
          <w:sz w:val="27"/>
          <w:szCs w:val="27"/>
        </w:rPr>
      </w:pPr>
      <w:r w:rsidRPr="00C02782">
        <w:rPr>
          <w:color w:val="000000" w:themeColor="text1"/>
          <w:sz w:val="27"/>
          <w:szCs w:val="27"/>
        </w:rPr>
        <w:t>1. Thông tư này có hiệu lực thi hành kể từ ngày    tháng    năm 2026.</w:t>
      </w:r>
    </w:p>
    <w:p w14:paraId="230E1434" w14:textId="77777777" w:rsidR="00FA379F" w:rsidRPr="00C02782" w:rsidRDefault="00FA379F" w:rsidP="000C257D">
      <w:pPr>
        <w:snapToGrid w:val="0"/>
        <w:spacing w:before="100" w:after="100"/>
        <w:ind w:firstLine="709"/>
        <w:jc w:val="both"/>
        <w:rPr>
          <w:color w:val="000000" w:themeColor="text1"/>
          <w:spacing w:val="-2"/>
          <w:sz w:val="27"/>
          <w:szCs w:val="27"/>
        </w:rPr>
      </w:pPr>
      <w:r w:rsidRPr="00C02782">
        <w:rPr>
          <w:color w:val="000000" w:themeColor="text1"/>
          <w:spacing w:val="-2"/>
          <w:sz w:val="27"/>
          <w:szCs w:val="27"/>
        </w:rPr>
        <w:t>2. Thông tư này thay thế Thông tư số 06/2024/TT-BGDĐT ngày 10 tháng 4 năm 2024 của Bộ trưởng Bộ Giáo dục và Đào tạo ban hành Quy chế Cuộc thi nghiên cứu khoa học, kỹ thuật cấp quốc gia dành cho học sinh trung học cơ sở và trung học phổ thông và Thông tư số 24/2025/TT-BGDĐT ngày 28 tháng 11 năm 2025 của Bộ trưởng Bộ Giáo dục và Đào tạo sửa đổi, bổ sung một số điều của Quy chế nêu trên.</w:t>
      </w:r>
    </w:p>
    <w:p w14:paraId="6E29D10D" w14:textId="77777777" w:rsidR="00FA379F" w:rsidRPr="00C02782" w:rsidRDefault="00FA379F" w:rsidP="000C257D">
      <w:pPr>
        <w:snapToGrid w:val="0"/>
        <w:spacing w:before="100" w:after="100"/>
        <w:ind w:firstLine="709"/>
        <w:jc w:val="both"/>
        <w:rPr>
          <w:color w:val="000000" w:themeColor="text1"/>
          <w:sz w:val="27"/>
          <w:szCs w:val="27"/>
        </w:rPr>
      </w:pPr>
      <w:r w:rsidRPr="00C02782">
        <w:rPr>
          <w:b/>
          <w:bCs/>
          <w:color w:val="000000" w:themeColor="text1"/>
          <w:sz w:val="27"/>
          <w:szCs w:val="27"/>
        </w:rPr>
        <w:t>Điều 3. Trách nhiệm thi hành</w:t>
      </w:r>
    </w:p>
    <w:p w14:paraId="5545C879" w14:textId="77777777" w:rsidR="00FA379F" w:rsidRPr="00C02782" w:rsidRDefault="00FA379F" w:rsidP="00FA379F">
      <w:pPr>
        <w:snapToGrid w:val="0"/>
        <w:spacing w:before="100" w:after="100"/>
        <w:ind w:firstLine="709"/>
        <w:jc w:val="both"/>
        <w:rPr>
          <w:color w:val="000000" w:themeColor="text1"/>
          <w:sz w:val="27"/>
          <w:szCs w:val="27"/>
        </w:rPr>
      </w:pPr>
      <w:r w:rsidRPr="00C02782">
        <w:rPr>
          <w:color w:val="000000" w:themeColor="text1"/>
          <w:sz w:val="27"/>
          <w:szCs w:val="27"/>
        </w:rPr>
        <w:t>Chánh Văn phòng, Vụ trưởng Vụ Giáo dục Phổ thông, Thủ trưởng các đơn vị có liên quan thuộc Bộ Giáo dục và Đào tạo, Chủ tịch Ủy ban nhân dân tỉnh, thành phố, Giám đốc Sở Giáo dục và Đào tạo, các cơ quan, tổ chức và cá nhân có liên quan chịu trách nhiệm thi hành Thông tư này./.</w:t>
      </w:r>
    </w:p>
    <w:tbl>
      <w:tblPr>
        <w:tblW w:w="9612" w:type="dxa"/>
        <w:tblCellMar>
          <w:left w:w="10" w:type="dxa"/>
          <w:right w:w="10" w:type="dxa"/>
        </w:tblCellMar>
        <w:tblLook w:val="04A0" w:firstRow="1" w:lastRow="0" w:firstColumn="1" w:lastColumn="0" w:noHBand="0" w:noVBand="1"/>
      </w:tblPr>
      <w:tblGrid>
        <w:gridCol w:w="4962"/>
        <w:gridCol w:w="4650"/>
      </w:tblGrid>
      <w:tr w:rsidR="00816167" w:rsidRPr="00C02782" w14:paraId="48C9116E" w14:textId="77777777" w:rsidTr="002A597E">
        <w:trPr>
          <w:trHeight w:val="776"/>
        </w:trPr>
        <w:tc>
          <w:tcPr>
            <w:tcW w:w="4962" w:type="dxa"/>
          </w:tcPr>
          <w:p w14:paraId="7128A165" w14:textId="77777777" w:rsidR="00FA379F" w:rsidRPr="00C02782" w:rsidRDefault="00FA379F" w:rsidP="00FA379F">
            <w:pPr>
              <w:spacing w:after="20" w:line="300" w:lineRule="auto"/>
              <w:jc w:val="both"/>
              <w:rPr>
                <w:b/>
                <w:bCs/>
                <w:color w:val="000000" w:themeColor="text1"/>
                <w:sz w:val="21"/>
                <w:szCs w:val="21"/>
              </w:rPr>
            </w:pPr>
            <w:r w:rsidRPr="00C02782">
              <w:rPr>
                <w:b/>
                <w:bCs/>
                <w:i/>
                <w:iCs/>
                <w:color w:val="000000" w:themeColor="text1"/>
                <w:sz w:val="24"/>
                <w:szCs w:val="24"/>
              </w:rPr>
              <w:t>Nơi nhận:</w:t>
            </w:r>
          </w:p>
          <w:p w14:paraId="3EC49EEC" w14:textId="77777777" w:rsidR="00FA379F" w:rsidRPr="00C02782" w:rsidRDefault="00FA379F" w:rsidP="00FA379F">
            <w:pPr>
              <w:ind w:left="127" w:hanging="127"/>
              <w:jc w:val="both"/>
              <w:rPr>
                <w:color w:val="000000" w:themeColor="text1"/>
                <w:sz w:val="22"/>
              </w:rPr>
            </w:pPr>
            <w:r w:rsidRPr="00C02782">
              <w:rPr>
                <w:color w:val="000000" w:themeColor="text1"/>
                <w:sz w:val="22"/>
              </w:rPr>
              <w:t>- Ban Tuyên giáo Trung ương;</w:t>
            </w:r>
          </w:p>
          <w:p w14:paraId="181187B2" w14:textId="77777777" w:rsidR="00FA379F" w:rsidRPr="00C02782" w:rsidRDefault="00FA379F" w:rsidP="00FA379F">
            <w:pPr>
              <w:ind w:left="127" w:hanging="127"/>
              <w:jc w:val="both"/>
              <w:rPr>
                <w:color w:val="000000" w:themeColor="text1"/>
                <w:sz w:val="22"/>
              </w:rPr>
            </w:pPr>
            <w:r w:rsidRPr="00C02782">
              <w:rPr>
                <w:color w:val="000000" w:themeColor="text1"/>
                <w:sz w:val="22"/>
              </w:rPr>
              <w:t>- Văn phòng Quốc hội;</w:t>
            </w:r>
          </w:p>
          <w:p w14:paraId="738F87D6" w14:textId="77777777" w:rsidR="00FA379F" w:rsidRPr="00C02782" w:rsidRDefault="00FA379F" w:rsidP="00FA379F">
            <w:pPr>
              <w:ind w:left="127" w:hanging="127"/>
              <w:jc w:val="both"/>
              <w:rPr>
                <w:color w:val="000000" w:themeColor="text1"/>
                <w:sz w:val="22"/>
              </w:rPr>
            </w:pPr>
            <w:r w:rsidRPr="00C02782">
              <w:rPr>
                <w:color w:val="000000" w:themeColor="text1"/>
                <w:sz w:val="22"/>
              </w:rPr>
              <w:t>- Văn phòng Chính phủ;</w:t>
            </w:r>
          </w:p>
          <w:p w14:paraId="645B0437" w14:textId="77777777" w:rsidR="00FA379F" w:rsidRPr="00C02782" w:rsidRDefault="00FA379F" w:rsidP="00FA379F">
            <w:pPr>
              <w:ind w:left="127" w:hanging="127"/>
              <w:jc w:val="both"/>
              <w:rPr>
                <w:color w:val="000000" w:themeColor="text1"/>
                <w:sz w:val="22"/>
              </w:rPr>
            </w:pPr>
            <w:r w:rsidRPr="00C02782">
              <w:rPr>
                <w:color w:val="000000" w:themeColor="text1"/>
                <w:sz w:val="22"/>
              </w:rPr>
              <w:t>- Ủy ban Văn hóa và Xã hội của Quốc hội;</w:t>
            </w:r>
          </w:p>
          <w:p w14:paraId="12BDAC57" w14:textId="77777777" w:rsidR="00FA379F" w:rsidRPr="00C02782" w:rsidRDefault="00FA379F" w:rsidP="00FA379F">
            <w:pPr>
              <w:ind w:left="127" w:hanging="127"/>
              <w:jc w:val="both"/>
              <w:rPr>
                <w:color w:val="000000" w:themeColor="text1"/>
                <w:sz w:val="22"/>
              </w:rPr>
            </w:pPr>
            <w:r w:rsidRPr="00C02782">
              <w:rPr>
                <w:color w:val="000000" w:themeColor="text1"/>
                <w:sz w:val="22"/>
              </w:rPr>
              <w:t>- Hội đồng Quốc gia giáo dục và Phát triển nhân lực;</w:t>
            </w:r>
          </w:p>
          <w:p w14:paraId="118950D6" w14:textId="77777777" w:rsidR="00FA379F" w:rsidRPr="00C02782" w:rsidRDefault="00FA379F" w:rsidP="00FA379F">
            <w:pPr>
              <w:ind w:left="127" w:hanging="127"/>
              <w:jc w:val="both"/>
              <w:rPr>
                <w:color w:val="000000" w:themeColor="text1"/>
                <w:sz w:val="22"/>
              </w:rPr>
            </w:pPr>
            <w:r w:rsidRPr="00C02782">
              <w:rPr>
                <w:color w:val="000000" w:themeColor="text1"/>
                <w:sz w:val="22"/>
              </w:rPr>
              <w:t>- Các bộ, cơ quan ngang bộ, cơ quan thuộc Chính phủ;</w:t>
            </w:r>
          </w:p>
          <w:p w14:paraId="5BEEE34E" w14:textId="77777777" w:rsidR="00FA379F" w:rsidRPr="00C02782" w:rsidRDefault="00FA379F" w:rsidP="00FA379F">
            <w:pPr>
              <w:ind w:left="127" w:hanging="127"/>
              <w:jc w:val="both"/>
              <w:rPr>
                <w:color w:val="000000" w:themeColor="text1"/>
                <w:sz w:val="22"/>
              </w:rPr>
            </w:pPr>
            <w:r w:rsidRPr="00C02782">
              <w:rPr>
                <w:color w:val="000000" w:themeColor="text1"/>
                <w:sz w:val="22"/>
              </w:rPr>
              <w:t>- UBND các tỉnh, thành phố;</w:t>
            </w:r>
          </w:p>
          <w:p w14:paraId="7692FEB3" w14:textId="77777777" w:rsidR="00FA379F" w:rsidRPr="00C02782" w:rsidRDefault="00FA379F" w:rsidP="00FA379F">
            <w:pPr>
              <w:ind w:left="127" w:hanging="127"/>
              <w:jc w:val="both"/>
              <w:rPr>
                <w:color w:val="000000" w:themeColor="text1"/>
                <w:sz w:val="22"/>
              </w:rPr>
            </w:pPr>
            <w:r w:rsidRPr="00C02782">
              <w:rPr>
                <w:color w:val="000000" w:themeColor="text1"/>
                <w:sz w:val="22"/>
              </w:rPr>
              <w:t>- Như Điều 3 (để thực hiện);</w:t>
            </w:r>
          </w:p>
          <w:p w14:paraId="0042114B" w14:textId="77777777" w:rsidR="00FA379F" w:rsidRPr="00C02782" w:rsidRDefault="00FA379F" w:rsidP="00FA379F">
            <w:pPr>
              <w:ind w:left="127" w:hanging="127"/>
              <w:jc w:val="both"/>
              <w:rPr>
                <w:color w:val="000000" w:themeColor="text1"/>
                <w:sz w:val="22"/>
              </w:rPr>
            </w:pPr>
            <w:r w:rsidRPr="00C02782">
              <w:rPr>
                <w:color w:val="000000" w:themeColor="text1"/>
                <w:sz w:val="22"/>
              </w:rPr>
              <w:t>- Cục Kiểm tra VB và Tổ chức thi hành PL (Bộ Tư pháp);</w:t>
            </w:r>
          </w:p>
          <w:p w14:paraId="019E0BE5" w14:textId="77777777" w:rsidR="00FA379F" w:rsidRPr="00C02782" w:rsidRDefault="00FA379F" w:rsidP="00FA379F">
            <w:pPr>
              <w:ind w:left="127" w:hanging="127"/>
              <w:jc w:val="both"/>
              <w:rPr>
                <w:color w:val="000000" w:themeColor="text1"/>
                <w:sz w:val="22"/>
              </w:rPr>
            </w:pPr>
            <w:r w:rsidRPr="00C02782">
              <w:rPr>
                <w:color w:val="000000" w:themeColor="text1"/>
                <w:sz w:val="22"/>
              </w:rPr>
              <w:t>- Bộ trưởng;</w:t>
            </w:r>
          </w:p>
          <w:p w14:paraId="273AF2A9" w14:textId="77777777" w:rsidR="00FA379F" w:rsidRPr="00C02782" w:rsidRDefault="00FA379F" w:rsidP="00FA379F">
            <w:pPr>
              <w:ind w:left="127" w:hanging="127"/>
              <w:jc w:val="both"/>
              <w:rPr>
                <w:color w:val="000000" w:themeColor="text1"/>
                <w:sz w:val="22"/>
              </w:rPr>
            </w:pPr>
            <w:r w:rsidRPr="00C02782">
              <w:rPr>
                <w:color w:val="000000" w:themeColor="text1"/>
                <w:sz w:val="22"/>
              </w:rPr>
              <w:t>- Các Thứ trưởng Bộ GDĐT;</w:t>
            </w:r>
          </w:p>
          <w:p w14:paraId="1B7C1487" w14:textId="77777777" w:rsidR="00FA379F" w:rsidRPr="00C02782" w:rsidRDefault="00FA379F" w:rsidP="00FA379F">
            <w:pPr>
              <w:ind w:left="127" w:hanging="127"/>
              <w:jc w:val="both"/>
              <w:rPr>
                <w:color w:val="000000" w:themeColor="text1"/>
                <w:sz w:val="22"/>
              </w:rPr>
            </w:pPr>
            <w:r w:rsidRPr="00C02782">
              <w:rPr>
                <w:color w:val="000000" w:themeColor="text1"/>
                <w:sz w:val="22"/>
              </w:rPr>
              <w:t>- Công báo;</w:t>
            </w:r>
          </w:p>
          <w:p w14:paraId="022C30A6" w14:textId="77777777" w:rsidR="00FA379F" w:rsidRPr="00C02782" w:rsidRDefault="00FA379F" w:rsidP="00FA379F">
            <w:pPr>
              <w:ind w:left="127" w:hanging="127"/>
              <w:jc w:val="both"/>
              <w:rPr>
                <w:color w:val="000000" w:themeColor="text1"/>
                <w:sz w:val="22"/>
              </w:rPr>
            </w:pPr>
            <w:r w:rsidRPr="00C02782">
              <w:rPr>
                <w:color w:val="000000" w:themeColor="text1"/>
                <w:sz w:val="22"/>
              </w:rPr>
              <w:t>- Kiểm toán nhà nước;</w:t>
            </w:r>
          </w:p>
          <w:p w14:paraId="74530D38" w14:textId="77777777" w:rsidR="00FA379F" w:rsidRPr="00C02782" w:rsidRDefault="00FA379F" w:rsidP="00FA379F">
            <w:pPr>
              <w:ind w:left="127" w:hanging="127"/>
              <w:jc w:val="both"/>
              <w:rPr>
                <w:color w:val="000000" w:themeColor="text1"/>
                <w:sz w:val="22"/>
              </w:rPr>
            </w:pPr>
            <w:r w:rsidRPr="00C02782">
              <w:rPr>
                <w:color w:val="000000" w:themeColor="text1"/>
                <w:sz w:val="22"/>
              </w:rPr>
              <w:t>- Website Chính phủ;</w:t>
            </w:r>
          </w:p>
          <w:p w14:paraId="312F1109" w14:textId="77777777" w:rsidR="00FA379F" w:rsidRPr="00C02782" w:rsidRDefault="00FA379F" w:rsidP="00FA379F">
            <w:pPr>
              <w:ind w:left="127" w:hanging="127"/>
              <w:jc w:val="both"/>
              <w:rPr>
                <w:color w:val="000000" w:themeColor="text1"/>
                <w:sz w:val="22"/>
              </w:rPr>
            </w:pPr>
            <w:r w:rsidRPr="00C02782">
              <w:rPr>
                <w:color w:val="000000" w:themeColor="text1"/>
                <w:sz w:val="22"/>
              </w:rPr>
              <w:t>- Cổng thông tin điện tử Bộ GD&amp;ĐT;</w:t>
            </w:r>
          </w:p>
          <w:p w14:paraId="75AD6234" w14:textId="77777777" w:rsidR="00816167" w:rsidRPr="00C02782" w:rsidRDefault="00FA379F" w:rsidP="00FA379F">
            <w:pPr>
              <w:spacing w:line="300" w:lineRule="auto"/>
              <w:ind w:left="127" w:hanging="127"/>
              <w:jc w:val="both"/>
              <w:rPr>
                <w:color w:val="000000" w:themeColor="text1"/>
              </w:rPr>
            </w:pPr>
            <w:r w:rsidRPr="00C02782">
              <w:rPr>
                <w:color w:val="000000" w:themeColor="text1"/>
                <w:sz w:val="22"/>
              </w:rPr>
              <w:t>- Lưu VT, Vụ PC, Vụ GDPT.</w:t>
            </w:r>
          </w:p>
        </w:tc>
        <w:tc>
          <w:tcPr>
            <w:tcW w:w="4650" w:type="dxa"/>
          </w:tcPr>
          <w:p w14:paraId="179D603A" w14:textId="77777777" w:rsidR="00816167" w:rsidRPr="00C02782" w:rsidRDefault="006D16DD" w:rsidP="00706AA5">
            <w:pPr>
              <w:snapToGrid w:val="0"/>
              <w:jc w:val="center"/>
              <w:rPr>
                <w:color w:val="000000" w:themeColor="text1"/>
                <w:sz w:val="28"/>
                <w:szCs w:val="28"/>
              </w:rPr>
            </w:pPr>
            <w:r w:rsidRPr="00C02782">
              <w:rPr>
                <w:b/>
                <w:bCs/>
                <w:color w:val="000000" w:themeColor="text1"/>
                <w:sz w:val="28"/>
                <w:szCs w:val="28"/>
              </w:rPr>
              <w:t>KT. BỘ TRƯỞNG</w:t>
            </w:r>
          </w:p>
          <w:p w14:paraId="0B8143F3" w14:textId="77777777" w:rsidR="00816167" w:rsidRPr="00C02782" w:rsidRDefault="006D16DD" w:rsidP="00706AA5">
            <w:pPr>
              <w:snapToGrid w:val="0"/>
              <w:jc w:val="center"/>
              <w:rPr>
                <w:b/>
                <w:bCs/>
                <w:color w:val="000000" w:themeColor="text1"/>
                <w:sz w:val="28"/>
                <w:szCs w:val="28"/>
              </w:rPr>
            </w:pPr>
            <w:r w:rsidRPr="00C02782">
              <w:rPr>
                <w:b/>
                <w:bCs/>
                <w:color w:val="000000" w:themeColor="text1"/>
                <w:sz w:val="28"/>
                <w:szCs w:val="28"/>
              </w:rPr>
              <w:t>THỨ TRƯỞNG THƯỜNG TRỰC</w:t>
            </w:r>
          </w:p>
          <w:p w14:paraId="79188190" w14:textId="77777777" w:rsidR="003A2972" w:rsidRPr="00C02782" w:rsidRDefault="003A2972" w:rsidP="00706AA5">
            <w:pPr>
              <w:snapToGrid w:val="0"/>
              <w:jc w:val="center"/>
              <w:rPr>
                <w:b/>
                <w:bCs/>
                <w:color w:val="000000" w:themeColor="text1"/>
                <w:sz w:val="28"/>
                <w:szCs w:val="28"/>
              </w:rPr>
            </w:pPr>
          </w:p>
          <w:p w14:paraId="3C2F6BAC" w14:textId="77777777" w:rsidR="003A2972" w:rsidRPr="00C02782" w:rsidRDefault="003A2972" w:rsidP="00706AA5">
            <w:pPr>
              <w:snapToGrid w:val="0"/>
              <w:jc w:val="center"/>
              <w:rPr>
                <w:b/>
                <w:bCs/>
                <w:color w:val="000000" w:themeColor="text1"/>
                <w:sz w:val="28"/>
                <w:szCs w:val="28"/>
              </w:rPr>
            </w:pPr>
          </w:p>
          <w:p w14:paraId="024270CB" w14:textId="77777777" w:rsidR="00706AA5" w:rsidRPr="00C02782" w:rsidRDefault="00706AA5" w:rsidP="00706AA5">
            <w:pPr>
              <w:snapToGrid w:val="0"/>
              <w:jc w:val="center"/>
              <w:rPr>
                <w:b/>
                <w:bCs/>
                <w:color w:val="000000" w:themeColor="text1"/>
                <w:sz w:val="28"/>
                <w:szCs w:val="28"/>
              </w:rPr>
            </w:pPr>
          </w:p>
          <w:p w14:paraId="49EDBDEA" w14:textId="77777777" w:rsidR="00706AA5" w:rsidRPr="00C02782" w:rsidRDefault="00706AA5" w:rsidP="00706AA5">
            <w:pPr>
              <w:snapToGrid w:val="0"/>
              <w:jc w:val="center"/>
              <w:rPr>
                <w:b/>
                <w:bCs/>
                <w:color w:val="000000" w:themeColor="text1"/>
                <w:sz w:val="28"/>
                <w:szCs w:val="28"/>
              </w:rPr>
            </w:pPr>
          </w:p>
          <w:p w14:paraId="409B8D41" w14:textId="77777777" w:rsidR="00706AA5" w:rsidRPr="00C02782" w:rsidRDefault="00706AA5" w:rsidP="00706AA5">
            <w:pPr>
              <w:snapToGrid w:val="0"/>
              <w:jc w:val="center"/>
              <w:rPr>
                <w:b/>
                <w:bCs/>
                <w:color w:val="000000" w:themeColor="text1"/>
                <w:sz w:val="28"/>
                <w:szCs w:val="28"/>
              </w:rPr>
            </w:pPr>
          </w:p>
          <w:p w14:paraId="2A86DFE4" w14:textId="77777777" w:rsidR="00706AA5" w:rsidRPr="00C02782" w:rsidRDefault="00706AA5" w:rsidP="00706AA5">
            <w:pPr>
              <w:snapToGrid w:val="0"/>
              <w:jc w:val="center"/>
              <w:rPr>
                <w:b/>
                <w:bCs/>
                <w:color w:val="000000" w:themeColor="text1"/>
                <w:sz w:val="28"/>
                <w:szCs w:val="28"/>
              </w:rPr>
            </w:pPr>
          </w:p>
          <w:p w14:paraId="1347E92D" w14:textId="77777777" w:rsidR="003A2972" w:rsidRPr="00C02782" w:rsidRDefault="003A2972" w:rsidP="00706AA5">
            <w:pPr>
              <w:snapToGrid w:val="0"/>
              <w:jc w:val="center"/>
              <w:rPr>
                <w:color w:val="000000" w:themeColor="text1"/>
              </w:rPr>
            </w:pPr>
            <w:r w:rsidRPr="00C02782">
              <w:rPr>
                <w:b/>
                <w:bCs/>
                <w:color w:val="000000" w:themeColor="text1"/>
                <w:sz w:val="28"/>
                <w:szCs w:val="28"/>
              </w:rPr>
              <w:t>Phạm Ngọc Thưởng</w:t>
            </w:r>
          </w:p>
        </w:tc>
      </w:tr>
    </w:tbl>
    <w:p w14:paraId="64AE77A2" w14:textId="77777777" w:rsidR="00FA323D" w:rsidRPr="00C02782" w:rsidRDefault="00FA323D" w:rsidP="002A597E">
      <w:pPr>
        <w:snapToGrid w:val="0"/>
        <w:spacing w:before="120" w:after="120"/>
        <w:jc w:val="center"/>
        <w:rPr>
          <w:b/>
          <w:bCs/>
          <w:color w:val="000000" w:themeColor="text1"/>
          <w:sz w:val="28"/>
          <w:szCs w:val="28"/>
        </w:rPr>
        <w:sectPr w:rsidR="00FA323D" w:rsidRPr="00C02782" w:rsidSect="00FA323D">
          <w:headerReference w:type="even" r:id="rId7"/>
          <w:headerReference w:type="default" r:id="rId8"/>
          <w:footerReference w:type="even" r:id="rId9"/>
          <w:footerReference w:type="default" r:id="rId10"/>
          <w:headerReference w:type="first" r:id="rId11"/>
          <w:footerReference w:type="first" r:id="rId12"/>
          <w:pgSz w:w="11907" w:h="16840"/>
          <w:pgMar w:top="993" w:right="1134" w:bottom="426" w:left="1701" w:header="567" w:footer="567" w:gutter="0"/>
          <w:cols w:space="720"/>
          <w:titlePg/>
          <w:docGrid w:linePitch="360"/>
        </w:sectPr>
      </w:pPr>
    </w:p>
    <w:p w14:paraId="1430776B" w14:textId="77777777" w:rsidR="00816167" w:rsidRPr="00C02782" w:rsidRDefault="006D16DD" w:rsidP="00883790">
      <w:pPr>
        <w:snapToGrid w:val="0"/>
        <w:spacing w:before="120" w:after="120"/>
        <w:jc w:val="center"/>
        <w:rPr>
          <w:color w:val="000000" w:themeColor="text1"/>
          <w:sz w:val="28"/>
          <w:szCs w:val="28"/>
        </w:rPr>
      </w:pPr>
      <w:r w:rsidRPr="00C02782">
        <w:rPr>
          <w:b/>
          <w:bCs/>
          <w:color w:val="000000" w:themeColor="text1"/>
          <w:sz w:val="28"/>
          <w:szCs w:val="28"/>
        </w:rPr>
        <w:lastRenderedPageBreak/>
        <w:t>QUY CHẾ</w:t>
      </w:r>
    </w:p>
    <w:p w14:paraId="2261F720" w14:textId="77777777" w:rsidR="00816167" w:rsidRPr="00C02782" w:rsidRDefault="006D16DD" w:rsidP="002A597E">
      <w:pPr>
        <w:snapToGrid w:val="0"/>
        <w:jc w:val="center"/>
        <w:rPr>
          <w:color w:val="000000" w:themeColor="text1"/>
          <w:sz w:val="28"/>
          <w:szCs w:val="28"/>
        </w:rPr>
      </w:pPr>
      <w:r w:rsidRPr="00C02782">
        <w:rPr>
          <w:b/>
          <w:bCs/>
          <w:color w:val="000000" w:themeColor="text1"/>
          <w:sz w:val="28"/>
          <w:szCs w:val="28"/>
        </w:rPr>
        <w:t>Cuộc thi nghiên cứu khoa học, kỹ thuật cấp quốc gia</w:t>
      </w:r>
    </w:p>
    <w:p w14:paraId="23524365" w14:textId="77777777" w:rsidR="00816167" w:rsidRPr="00C02782" w:rsidRDefault="006D16DD" w:rsidP="002A597E">
      <w:pPr>
        <w:snapToGrid w:val="0"/>
        <w:jc w:val="center"/>
        <w:rPr>
          <w:color w:val="000000" w:themeColor="text1"/>
          <w:sz w:val="28"/>
          <w:szCs w:val="28"/>
        </w:rPr>
      </w:pPr>
      <w:r w:rsidRPr="00C02782">
        <w:rPr>
          <w:b/>
          <w:bCs/>
          <w:color w:val="000000" w:themeColor="text1"/>
          <w:sz w:val="28"/>
          <w:szCs w:val="28"/>
        </w:rPr>
        <w:t>dành cho học sinh trung học cơ sở và trung học phổ thông</w:t>
      </w:r>
    </w:p>
    <w:p w14:paraId="25F03915" w14:textId="77777777" w:rsidR="00816167" w:rsidRPr="00C02782" w:rsidRDefault="006D16DD" w:rsidP="00706AA5">
      <w:pPr>
        <w:snapToGrid w:val="0"/>
        <w:jc w:val="center"/>
        <w:rPr>
          <w:color w:val="000000" w:themeColor="text1"/>
          <w:sz w:val="28"/>
          <w:szCs w:val="28"/>
        </w:rPr>
      </w:pPr>
      <w:r w:rsidRPr="00C02782">
        <w:rPr>
          <w:i/>
          <w:iCs/>
          <w:color w:val="000000" w:themeColor="text1"/>
          <w:sz w:val="28"/>
          <w:szCs w:val="28"/>
        </w:rPr>
        <w:t>(Ban hành kèm theo Thông tư số      /2026/TT-BGDĐT ngày    tháng    năm 2026</w:t>
      </w:r>
    </w:p>
    <w:p w14:paraId="0BCAA7BC" w14:textId="77777777" w:rsidR="00816167" w:rsidRPr="00C02782" w:rsidRDefault="006D16DD" w:rsidP="00706AA5">
      <w:pPr>
        <w:snapToGrid w:val="0"/>
        <w:ind w:firstLine="709"/>
        <w:jc w:val="center"/>
        <w:rPr>
          <w:color w:val="000000" w:themeColor="text1"/>
          <w:sz w:val="28"/>
          <w:szCs w:val="28"/>
        </w:rPr>
      </w:pPr>
      <w:r w:rsidRPr="00C02782">
        <w:rPr>
          <w:i/>
          <w:iCs/>
          <w:color w:val="000000" w:themeColor="text1"/>
          <w:sz w:val="28"/>
          <w:szCs w:val="28"/>
        </w:rPr>
        <w:t>của Bộ trưởng Bộ Giáo dục và Đào tạo)</w:t>
      </w:r>
    </w:p>
    <w:p w14:paraId="7891873F" w14:textId="77777777" w:rsidR="00706AA5" w:rsidRPr="00C02782" w:rsidRDefault="00706AA5" w:rsidP="00706AA5">
      <w:pPr>
        <w:snapToGrid w:val="0"/>
        <w:spacing w:before="120" w:after="120"/>
        <w:ind w:firstLine="709"/>
        <w:jc w:val="center"/>
        <w:rPr>
          <w:b/>
          <w:bCs/>
          <w:color w:val="000000" w:themeColor="text1"/>
          <w:sz w:val="28"/>
          <w:szCs w:val="28"/>
        </w:rPr>
      </w:pPr>
    </w:p>
    <w:p w14:paraId="01FE85AF" w14:textId="77777777" w:rsidR="00816167" w:rsidRPr="00C02782" w:rsidRDefault="006D16DD" w:rsidP="00FA323D">
      <w:pPr>
        <w:snapToGrid w:val="0"/>
        <w:spacing w:before="100" w:after="100"/>
        <w:jc w:val="center"/>
        <w:rPr>
          <w:b/>
          <w:bCs/>
          <w:color w:val="000000" w:themeColor="text1"/>
          <w:sz w:val="28"/>
          <w:szCs w:val="28"/>
        </w:rPr>
      </w:pPr>
      <w:r w:rsidRPr="00C02782">
        <w:rPr>
          <w:b/>
          <w:bCs/>
          <w:color w:val="000000" w:themeColor="text1"/>
          <w:sz w:val="28"/>
          <w:szCs w:val="28"/>
        </w:rPr>
        <w:t>Chương I. QUY ĐỊNH CHUNG</w:t>
      </w:r>
    </w:p>
    <w:p w14:paraId="1C5B3F8D"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 Phạm vi điều chỉnh và đối tượng áp dụng</w:t>
      </w:r>
    </w:p>
    <w:p w14:paraId="73A1C7CF" w14:textId="77777777" w:rsidR="00CC034E"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1. Quy chế này quy định về Cuộc thi nghiên cứu khoa học, kỹ thuật cấp quốc gia dành cho học sinh trung học cơ sở và trung học phổ thông (sau đây gọi tắt là Cuộc thi), bao gồm: nguyên tắc tổ chức Cuộc thi; ban chỉ đạo, hội đồng thẩm định hồ sơ dự thi, ban giám khảo; công khai, minh bạch và liêm chính khoa học; tổ chức lựa chọn, thẩm định, chấm thi, xếp giải và lựa chọn, bồi dưỡng dự án tham dự cuộc thi quốc tế; ứng dụng công nghệ số trong nghiên cứu, quản lý và tổ chức Cuộc thi; trách nhiệm của cơ quan, tổ chức, cá nhân; kiểm tra, khen thưởng và xử lý vi phạm.</w:t>
      </w:r>
    </w:p>
    <w:p w14:paraId="207B3AE6" w14:textId="77777777" w:rsidR="00816167"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2. Quy chế này áp dụng cho các cơ sở giáo dục có học sinh học Chương trình giáo dục phổ thông cấp trung học cơ sở và cấp trung học phổ thông, học viên học Chương trình giáo dục thường xuyên cấp trung học cơ sở và cấp trung học phổ thông (sau đây gọi chung là cơ sở giáo dục) và các tổ chức, cá nhân có liên quan.</w:t>
      </w:r>
    </w:p>
    <w:p w14:paraId="328F5635"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 Mục đích, yêu cầu của Cuộc thi</w:t>
      </w:r>
    </w:p>
    <w:p w14:paraId="3FEB022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Mục đích</w:t>
      </w:r>
    </w:p>
    <w:p w14:paraId="35BD5B6B"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a) Khuyến khích học sinh, học viên (sau đây gọi chung là học sinh) nghiên cứu khoa học, kỹ thuật, vận dụng kiến thức đã học vào giải quyết những vấn đề thực tiễn;</w:t>
      </w:r>
    </w:p>
    <w:p w14:paraId="3C68F0E3"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Góp phần đổi mới phương pháp dạy học và kiểm tra, đánh giá; thúc đẩy giáo dục </w:t>
      </w:r>
      <w:r w:rsidRPr="00C02782">
        <w:rPr>
          <w:color w:val="000000" w:themeColor="text1"/>
          <w:sz w:val="28"/>
          <w:szCs w:val="28"/>
          <w:lang w:val="en-US"/>
        </w:rPr>
        <w:t>STEM/STEAM và đổi mới sáng tạo trong cơ sở giáo dục</w:t>
      </w:r>
      <w:r w:rsidRPr="00C02782">
        <w:rPr>
          <w:color w:val="000000" w:themeColor="text1"/>
          <w:sz w:val="28"/>
          <w:szCs w:val="28"/>
        </w:rPr>
        <w:t>; nâng cao chất lượng dạy học trong các cơ sở giáo dục;</w:t>
      </w:r>
    </w:p>
    <w:p w14:paraId="20EE0637"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c) Tạo cơ hội để học sinh giới thiệu kết quả nghiên cứu khoa học, kỹ thuật; tăng cường trao đổi, giao lưu văn hóa, giáo dục giữa các địa phương và hội nhập quốc tế;</w:t>
      </w:r>
    </w:p>
    <w:p w14:paraId="667125F9" w14:textId="77777777" w:rsidR="00CC034E" w:rsidRPr="00C02782" w:rsidRDefault="006D16DD" w:rsidP="0089240E">
      <w:pPr>
        <w:snapToGrid w:val="0"/>
        <w:spacing w:before="120" w:after="120"/>
        <w:ind w:firstLine="709"/>
        <w:jc w:val="both"/>
        <w:rPr>
          <w:color w:val="000000" w:themeColor="text1"/>
          <w:sz w:val="28"/>
          <w:szCs w:val="28"/>
        </w:rPr>
      </w:pPr>
      <w:r w:rsidRPr="00C02782">
        <w:rPr>
          <w:color w:val="000000" w:themeColor="text1"/>
          <w:spacing w:val="-6"/>
          <w:sz w:val="28"/>
          <w:szCs w:val="28"/>
        </w:rPr>
        <w:t xml:space="preserve">d) </w:t>
      </w:r>
      <w:r w:rsidRPr="00C02782">
        <w:rPr>
          <w:color w:val="000000" w:themeColor="text1"/>
          <w:sz w:val="28"/>
          <w:szCs w:val="28"/>
        </w:rPr>
        <w:t>Khuyến khích ứng dụng công nghệ số và trí tuệ nhân tạo một cách an toàn, có trách nhiệm, đúng quy định trong hoạt động nghiên cứu khoa học, kỹ thuật của học sinh.</w:t>
      </w:r>
    </w:p>
    <w:p w14:paraId="1DCAB1ED" w14:textId="77777777" w:rsidR="00CC034E" w:rsidRPr="00C02782" w:rsidRDefault="00CC034E" w:rsidP="0089240E">
      <w:pPr>
        <w:snapToGrid w:val="0"/>
        <w:spacing w:before="120" w:after="120"/>
        <w:ind w:firstLine="709"/>
        <w:jc w:val="both"/>
        <w:rPr>
          <w:color w:val="000000" w:themeColor="text1"/>
          <w:sz w:val="28"/>
          <w:szCs w:val="28"/>
        </w:rPr>
      </w:pPr>
      <w:r w:rsidRPr="00C02782">
        <w:rPr>
          <w:color w:val="000000" w:themeColor="text1"/>
          <w:sz w:val="28"/>
          <w:szCs w:val="28"/>
          <w:lang w:val="en-US"/>
        </w:rPr>
        <w:t>đ) Khuyến khích tinh thần đổi mới sáng tạo, khởi nghiệp, nghiên cứu khoa học và chuyển giao công nghệ trong học sinh phổ thông.</w:t>
      </w:r>
    </w:p>
    <w:p w14:paraId="04189D3B"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Yêu cầu</w:t>
      </w:r>
    </w:p>
    <w:p w14:paraId="3F548287" w14:textId="77777777" w:rsidR="00816167"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 xml:space="preserve">a) Nội dung nghiên cứu khoa học, kỹ thuật của học sinh bảo đảm </w:t>
      </w:r>
      <w:r w:rsidRPr="00C02782">
        <w:rPr>
          <w:color w:val="000000" w:themeColor="text1"/>
          <w:spacing w:val="-4"/>
          <w:sz w:val="28"/>
          <w:szCs w:val="28"/>
          <w:lang w:val="en-US"/>
        </w:rPr>
        <w:t xml:space="preserve">tính mới, tính </w:t>
      </w:r>
      <w:r w:rsidRPr="00C02782">
        <w:rPr>
          <w:color w:val="000000" w:themeColor="text1"/>
          <w:spacing w:val="-4"/>
          <w:sz w:val="28"/>
          <w:szCs w:val="28"/>
        </w:rPr>
        <w:t xml:space="preserve">thiết thực, </w:t>
      </w:r>
      <w:r w:rsidRPr="00C02782">
        <w:rPr>
          <w:color w:val="000000" w:themeColor="text1"/>
          <w:spacing w:val="-4"/>
          <w:sz w:val="28"/>
          <w:szCs w:val="28"/>
          <w:lang w:val="en-US"/>
        </w:rPr>
        <w:t xml:space="preserve">tính khả thi, </w:t>
      </w:r>
      <w:r w:rsidRPr="00C02782">
        <w:rPr>
          <w:color w:val="000000" w:themeColor="text1"/>
          <w:spacing w:val="-4"/>
          <w:sz w:val="28"/>
          <w:szCs w:val="28"/>
        </w:rPr>
        <w:t>phù hợp với tâm sinh lý lứa tuổi và yêu cầu phát triển phẩm chất, năng lực của học sinh theo mục tiêu của chương trình giáo dục phổ thông;</w:t>
      </w:r>
    </w:p>
    <w:p w14:paraId="2820415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Việc tổ chức cho học sinh tham gia nghiên cứu khoa học, kỹ thuật bảo đảm </w:t>
      </w:r>
      <w:r w:rsidRPr="00C02782">
        <w:rPr>
          <w:color w:val="000000" w:themeColor="text1"/>
          <w:sz w:val="28"/>
          <w:szCs w:val="28"/>
          <w:lang w:val="en-US"/>
        </w:rPr>
        <w:t xml:space="preserve">cơ hội tham gia bình đẳng của học sinh, bảo đảm </w:t>
      </w:r>
      <w:r w:rsidRPr="00C02782">
        <w:rPr>
          <w:color w:val="000000" w:themeColor="text1"/>
          <w:sz w:val="28"/>
          <w:szCs w:val="28"/>
        </w:rPr>
        <w:t xml:space="preserve">an toàn, nghiêm túc, công </w:t>
      </w:r>
      <w:r w:rsidRPr="00C02782">
        <w:rPr>
          <w:color w:val="000000" w:themeColor="text1"/>
          <w:sz w:val="28"/>
          <w:szCs w:val="28"/>
        </w:rPr>
        <w:lastRenderedPageBreak/>
        <w:t>khai, minh bạch, phù hợp với năng lực, sở trường, hứng thú</w:t>
      </w:r>
      <w:r w:rsidRPr="00C02782">
        <w:rPr>
          <w:color w:val="000000" w:themeColor="text1"/>
          <w:sz w:val="28"/>
          <w:szCs w:val="28"/>
          <w:lang w:val="en-US"/>
        </w:rPr>
        <w:t xml:space="preserve">, </w:t>
      </w:r>
      <w:r w:rsidRPr="00C02782">
        <w:rPr>
          <w:color w:val="000000" w:themeColor="text1"/>
          <w:sz w:val="28"/>
          <w:szCs w:val="28"/>
        </w:rPr>
        <w:t>và tự nguyện tham gia của học sinh;</w:t>
      </w:r>
    </w:p>
    <w:p w14:paraId="7876BD2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Việc tổ chức Cuộc thi bảo đảm thiết thực, hiệu quả, </w:t>
      </w:r>
      <w:r w:rsidRPr="00C02782">
        <w:rPr>
          <w:color w:val="000000" w:themeColor="text1"/>
          <w:sz w:val="28"/>
          <w:szCs w:val="28"/>
          <w:lang w:val="en-US"/>
        </w:rPr>
        <w:t xml:space="preserve">công bằng, khách quan, công khai, minh bạch, </w:t>
      </w:r>
      <w:r w:rsidRPr="00C02782">
        <w:rPr>
          <w:color w:val="000000" w:themeColor="text1"/>
          <w:sz w:val="28"/>
          <w:szCs w:val="28"/>
        </w:rPr>
        <w:t>trung thực</w:t>
      </w:r>
      <w:r w:rsidRPr="00C02782">
        <w:rPr>
          <w:color w:val="000000" w:themeColor="text1"/>
          <w:sz w:val="28"/>
          <w:szCs w:val="28"/>
          <w:lang w:val="en-US"/>
        </w:rPr>
        <w:t xml:space="preserve">; </w:t>
      </w:r>
      <w:r w:rsidRPr="00C02782">
        <w:rPr>
          <w:color w:val="000000" w:themeColor="text1"/>
          <w:sz w:val="28"/>
          <w:szCs w:val="28"/>
        </w:rPr>
        <w:t>đánh giá đúng năng lực học sinh, bảo đảm liêm chính khoa học trong suốt quá trình tổ chức</w:t>
      </w:r>
      <w:r w:rsidRPr="00C02782">
        <w:rPr>
          <w:color w:val="000000" w:themeColor="text1"/>
          <w:sz w:val="28"/>
          <w:szCs w:val="28"/>
          <w:lang w:val="en-US"/>
        </w:rPr>
        <w:t xml:space="preserve"> Cuộc thi</w:t>
      </w:r>
      <w:r w:rsidRPr="00C02782">
        <w:rPr>
          <w:color w:val="000000" w:themeColor="text1"/>
          <w:sz w:val="28"/>
          <w:szCs w:val="28"/>
        </w:rPr>
        <w:t>.</w:t>
      </w:r>
    </w:p>
    <w:p w14:paraId="7E44781B" w14:textId="77777777" w:rsidR="00CC034E" w:rsidRPr="00C02782" w:rsidRDefault="00CC034E" w:rsidP="0089240E">
      <w:pPr>
        <w:snapToGrid w:val="0"/>
        <w:spacing w:before="120" w:after="120"/>
        <w:ind w:firstLine="709"/>
        <w:jc w:val="both"/>
        <w:rPr>
          <w:color w:val="000000" w:themeColor="text1"/>
          <w:sz w:val="28"/>
          <w:szCs w:val="28"/>
        </w:rPr>
      </w:pPr>
      <w:r w:rsidRPr="00C02782">
        <w:rPr>
          <w:color w:val="000000" w:themeColor="text1"/>
          <w:sz w:val="28"/>
          <w:szCs w:val="28"/>
          <w:lang w:val="en-US"/>
        </w:rPr>
        <w:t>d) Mọi hoạt động của Cuộc thi phải bảo đảm quyền, lợi ích hợp pháp của học sinh; không tạo áp lực thành tích hoặc phát sinh các yêu cầu ngoài Quy chế.</w:t>
      </w:r>
    </w:p>
    <w:p w14:paraId="23C0A151"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 Nội dung và hình thức thi</w:t>
      </w:r>
    </w:p>
    <w:p w14:paraId="2FF95D7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Nội dung thi</w:t>
      </w:r>
    </w:p>
    <w:p w14:paraId="0C84860A" w14:textId="77777777" w:rsidR="00816167" w:rsidRPr="00C02782" w:rsidRDefault="006D16DD" w:rsidP="0089240E">
      <w:pPr>
        <w:snapToGrid w:val="0"/>
        <w:spacing w:before="120" w:after="120"/>
        <w:ind w:firstLine="709"/>
        <w:jc w:val="both"/>
        <w:rPr>
          <w:color w:val="000000" w:themeColor="text1"/>
          <w:sz w:val="28"/>
          <w:szCs w:val="28"/>
          <w:lang w:val="en-US"/>
        </w:rPr>
      </w:pPr>
      <w:r w:rsidRPr="00C02782">
        <w:rPr>
          <w:color w:val="000000" w:themeColor="text1"/>
          <w:sz w:val="28"/>
          <w:szCs w:val="28"/>
        </w:rPr>
        <w:t xml:space="preserve">a) Nội dung thi là </w:t>
      </w:r>
      <w:r w:rsidRPr="00C02782">
        <w:rPr>
          <w:color w:val="000000" w:themeColor="text1"/>
          <w:sz w:val="28"/>
          <w:szCs w:val="28"/>
          <w:lang w:val="en-US"/>
        </w:rPr>
        <w:t xml:space="preserve">quá trình và </w:t>
      </w:r>
      <w:r w:rsidRPr="00C02782">
        <w:rPr>
          <w:color w:val="000000" w:themeColor="text1"/>
          <w:sz w:val="28"/>
          <w:szCs w:val="28"/>
        </w:rPr>
        <w:t>kết quả thực hiện dự án nghiên cứu khoa học, kỹ thuật của học sinh (sau đây gọi tắt là dự án dự thi) thuộc các lĩnh vực của Cuộc thi quy định tại Phụ lục 1 kèm theo Quy chế này. Dự án dự thi có thể do 01 (một) học sinh thực hiện (sau đây gọi là dự án cá nhân) hoặc do 02 (hai) học sinh thuộc cùng một cơ sở giáo dục thực hiện (sau đây gọi là dự án tập thể);</w:t>
      </w:r>
      <w:r w:rsidRPr="00C02782">
        <w:rPr>
          <w:color w:val="000000" w:themeColor="text1"/>
          <w:sz w:val="28"/>
          <w:szCs w:val="28"/>
          <w:lang w:val="en-US"/>
        </w:rPr>
        <w:t xml:space="preserve"> mỗi dự án chỉ được đăng ký dự thi ở </w:t>
      </w:r>
      <w:r w:rsidRPr="00C02782">
        <w:rPr>
          <w:color w:val="000000" w:themeColor="text1"/>
          <w:sz w:val="28"/>
          <w:szCs w:val="28"/>
        </w:rPr>
        <w:t>0</w:t>
      </w:r>
      <w:r w:rsidRPr="00C02782">
        <w:rPr>
          <w:color w:val="000000" w:themeColor="text1"/>
          <w:sz w:val="28"/>
          <w:szCs w:val="28"/>
          <w:lang w:val="en-US"/>
        </w:rPr>
        <w:t xml:space="preserve">1 </w:t>
      </w:r>
      <w:r w:rsidRPr="00C02782">
        <w:rPr>
          <w:color w:val="000000" w:themeColor="text1"/>
          <w:sz w:val="28"/>
          <w:szCs w:val="28"/>
        </w:rPr>
        <w:t xml:space="preserve">(một) </w:t>
      </w:r>
      <w:r w:rsidRPr="00C02782">
        <w:rPr>
          <w:color w:val="000000" w:themeColor="text1"/>
          <w:sz w:val="28"/>
          <w:szCs w:val="28"/>
          <w:lang w:val="en-US"/>
        </w:rPr>
        <w:t>lĩnh vực hoặc nhóm lĩnh vực;</w:t>
      </w:r>
    </w:p>
    <w:p w14:paraId="5316EA4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pacing w:val="-6"/>
          <w:sz w:val="28"/>
          <w:szCs w:val="28"/>
        </w:rPr>
        <w:t xml:space="preserve">b) Báo cáo </w:t>
      </w:r>
      <w:r w:rsidRPr="00C02782">
        <w:rPr>
          <w:color w:val="000000" w:themeColor="text1"/>
          <w:spacing w:val="-6"/>
          <w:sz w:val="28"/>
          <w:szCs w:val="28"/>
          <w:lang w:val="en-US"/>
        </w:rPr>
        <w:t xml:space="preserve">tóm tắt </w:t>
      </w:r>
      <w:r w:rsidRPr="00C02782">
        <w:rPr>
          <w:color w:val="000000" w:themeColor="text1"/>
          <w:spacing w:val="-6"/>
          <w:sz w:val="28"/>
          <w:szCs w:val="28"/>
        </w:rPr>
        <w:t xml:space="preserve">kết quả thực hiện dự án dự thi bao gồm các nội dung cơ bản sau: câu hỏi nghiên cứu (đối với dự án khoa học) hoặc vấn đề nghiên cứu (đối với dự án kỹ thuật); thiết kế và phương pháp nghiên cứu; </w:t>
      </w:r>
      <w:r w:rsidRPr="00C02782">
        <w:rPr>
          <w:color w:val="000000" w:themeColor="text1"/>
          <w:spacing w:val="-6"/>
          <w:sz w:val="28"/>
          <w:szCs w:val="28"/>
          <w:lang w:val="en-US"/>
        </w:rPr>
        <w:t xml:space="preserve">quá trình </w:t>
      </w:r>
      <w:r w:rsidRPr="00C02782">
        <w:rPr>
          <w:color w:val="000000" w:themeColor="text1"/>
          <w:spacing w:val="-6"/>
          <w:sz w:val="28"/>
          <w:szCs w:val="28"/>
        </w:rPr>
        <w:t>thực hiện</w:t>
      </w:r>
      <w:r w:rsidRPr="00C02782">
        <w:rPr>
          <w:color w:val="000000" w:themeColor="text1"/>
          <w:spacing w:val="-6"/>
          <w:sz w:val="28"/>
          <w:szCs w:val="28"/>
          <w:lang w:val="en-US"/>
        </w:rPr>
        <w:t xml:space="preserve">; </w:t>
      </w:r>
      <w:r w:rsidRPr="00C02782">
        <w:rPr>
          <w:color w:val="000000" w:themeColor="text1"/>
          <w:sz w:val="28"/>
          <w:szCs w:val="28"/>
          <w:lang w:val="en-US"/>
        </w:rPr>
        <w:t>kết quả nghiên cứu; phân tích, đánh giá kết quả</w:t>
      </w:r>
      <w:r w:rsidRPr="00C02782">
        <w:rPr>
          <w:color w:val="000000" w:themeColor="text1"/>
          <w:spacing w:val="-6"/>
          <w:sz w:val="28"/>
          <w:szCs w:val="28"/>
        </w:rPr>
        <w:t xml:space="preserve"> thu thập, phân tích và giải thích dữ liệu (đối với dự án khoa học) hoặc chế tạo và kiểm tra (đối với dự án kỹ thuật)</w:t>
      </w:r>
      <w:r w:rsidRPr="00C02782">
        <w:rPr>
          <w:color w:val="000000" w:themeColor="text1"/>
          <w:spacing w:val="-6"/>
          <w:sz w:val="28"/>
          <w:szCs w:val="28"/>
          <w:lang w:val="en-US"/>
        </w:rPr>
        <w:t xml:space="preserve">; </w:t>
      </w:r>
      <w:r w:rsidRPr="00C02782">
        <w:rPr>
          <w:color w:val="000000" w:themeColor="text1"/>
          <w:sz w:val="28"/>
          <w:szCs w:val="28"/>
          <w:lang w:val="en-US"/>
        </w:rPr>
        <w:t>kết luận và khả năng ứng dụng của dự án.</w:t>
      </w:r>
    </w:p>
    <w:p w14:paraId="31257111"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Hình thức thi</w:t>
      </w:r>
    </w:p>
    <w:p w14:paraId="046F6E86" w14:textId="77777777" w:rsidR="002971B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a) Dự án dự thi được trưng bày bảng thuyết minh về kết quả thực hiện dự án (sau đây gọi là poster) tại khu vực tổ chức Cuộc thi theo hướng dẫn của Ban chỉ đạo Cuộc thi; hồ sơ dự thi thực hiện theo quy định tại Điều 18 Quy chế này.</w:t>
      </w:r>
    </w:p>
    <w:p w14:paraId="41EFB9E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b) Tác giả hoặc nhóm tác giả trình bày tóm tắt kết quả thực hiện dự án và trả lời phỏng vấn của giám khảo tại khu vực trưng bày poster.</w:t>
      </w:r>
    </w:p>
    <w:p w14:paraId="24BAFD94" w14:textId="77777777" w:rsidR="002971BE" w:rsidRPr="00C02782" w:rsidRDefault="0089240E" w:rsidP="0089240E">
      <w:pPr>
        <w:snapToGrid w:val="0"/>
        <w:spacing w:before="120" w:after="120"/>
        <w:ind w:firstLine="709"/>
        <w:jc w:val="both"/>
        <w:rPr>
          <w:color w:val="000000" w:themeColor="text1"/>
          <w:spacing w:val="-4"/>
          <w:sz w:val="28"/>
          <w:szCs w:val="28"/>
          <w:lang w:val="en-US"/>
        </w:rPr>
      </w:pPr>
      <w:r w:rsidRPr="00C02782">
        <w:rPr>
          <w:color w:val="000000" w:themeColor="text1"/>
          <w:spacing w:val="-4"/>
          <w:sz w:val="28"/>
          <w:szCs w:val="28"/>
        </w:rPr>
        <w:t xml:space="preserve">3. </w:t>
      </w:r>
      <w:r w:rsidRPr="00C02782">
        <w:rPr>
          <w:color w:val="000000" w:themeColor="text1"/>
          <w:spacing w:val="-4"/>
          <w:sz w:val="28"/>
          <w:szCs w:val="28"/>
          <w:lang w:val="en-US"/>
        </w:rPr>
        <w:t>Ngôn ngữ chính thức trong hồ sơ, báo cáo và poster là tiếng Việt; khuyến khích học sinh sử dụng thêm tiếng Anh khi trình bày tóm tắt kết quả thực hiện dự án và trả lời phỏng vấn giám khảo. Việc sử dụng tiếng Anh không phải là tiêu chí chấm điểm, trừ vòng chấm chọn dự án dự thi quốc tế quy định tại Điều 25 Quy chế này.</w:t>
      </w:r>
    </w:p>
    <w:p w14:paraId="349ECE83"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4. Yêu cầu đối với dự án dự thi</w:t>
      </w:r>
    </w:p>
    <w:p w14:paraId="4B6556D3"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1. </w:t>
      </w:r>
      <w:r w:rsidRPr="00C02782">
        <w:rPr>
          <w:color w:val="000000" w:themeColor="text1"/>
          <w:sz w:val="28"/>
          <w:szCs w:val="28"/>
          <w:lang w:val="en-US"/>
        </w:rPr>
        <w:t>B</w:t>
      </w:r>
      <w:r w:rsidRPr="00C02782">
        <w:rPr>
          <w:color w:val="000000" w:themeColor="text1"/>
          <w:sz w:val="28"/>
          <w:szCs w:val="28"/>
        </w:rPr>
        <w:t>ảo đảm tính trung thực, khách quan và liêm chính khoa học; không gian lận, giả mạo, sao chép trái phép, chiếm đoạt hoặc sử dụng trái phép kết quả nghiên cứu của tổ chức, cá nhân khác; không trình bày kết quả nghiên cứu của người khác như là kết quả nghiên cứu của mình.</w:t>
      </w:r>
    </w:p>
    <w:p w14:paraId="09C0B153"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Thời gian nghiên cứu của dự án dự thi không quá 12 tháng liên tục và trong khoảng từ tháng 01 năm liền kề trước năm tổ chức Cuộc thi đến trước ngày khai mạc Cuộc thi 30 ngày.</w:t>
      </w:r>
    </w:p>
    <w:p w14:paraId="405F7A5E" w14:textId="77777777" w:rsidR="008C248E"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lastRenderedPageBreak/>
        <w:t>3. Kết quả nghiên cứu phải phản ánh đúng mức độ tham gia và đóng góp của từng thành viên; nghiêm cấm việc bổ sung hoặc thay thế thành viên dự án dự thi sau khi đã hoàn thành đăng ký dự thi theo quy định tại Điều 17 Quy chế này. Trường hợp bất khả kháng (thành viên dự án ốm dài ngày, chuyển trường, tai nạn hoặc trường hợp bất khả kháng khác), đơn vị dự thi báo cáo Ban chỉ đạo Cuộc thi xem xét, quyết định; thành viên còn lại được tiếp tục dự thi với tư cách dự án cá nhân nếu chứng minh được phần đóng góp thực chất của mình thông qua nhật ký nghiên cứu quy định tại Điều 14 Quy chế này, không được bổ sung thành viên mới.</w:t>
      </w:r>
    </w:p>
    <w:p w14:paraId="29E65159" w14:textId="6FC617D8" w:rsidR="008C248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4. Dự án nghiên cứu được phân loại theo 03 (ba) mức độ an toàn để quản lý như sau:</w:t>
      </w:r>
    </w:p>
    <w:p w14:paraId="03CB9E13" w14:textId="77777777" w:rsidR="00D35CB3" w:rsidRPr="00C02782" w:rsidRDefault="00000000">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a) Mức cấm tuyệt đối: dự án nghiên cứu có nguy cơ mất an toàn sinh học, an toàn hóa chất, an toàn bức xạ, an toàn thông tin ở mức độ nghiêm trọng, ảnh hưởng trực tiếp đến tính mạng, sức khỏe con người, động vật, môi trường và an ninh quốc gia; dự án nghiên cứu có liên quan đến con người hoặc động vật mà không bảo đảm yêu cầu về đạo đức nghiên cứu theo quy định của pháp luật; dự án xâm phạm quyền sở hữu trí tuệ của tổ chức, cá nhân khác thì không được dự thi;</w:t>
      </w:r>
    </w:p>
    <w:p w14:paraId="357BF11B" w14:textId="77777777" w:rsidR="00D35CB3" w:rsidRPr="00C02782" w:rsidRDefault="00000000">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b) Mức phê duyệt rủi ro: dự án nghiên cứu thuộc lĩnh vực có yếu tố rủi ro về an toàn sinh học, hóa chất, bức xạ, nghiên cứu trên người, động vật ở mức độ có thể kiểm soát được thì được dự thi sau khi cơ sở giáo dục tổ chức đánh giá sơ bộ mức độ an toàn và phê duyệt kế hoạch nghiên cứu theo quy định tại Điều 17 Quy chế này;</w:t>
      </w:r>
    </w:p>
    <w:p w14:paraId="6EDD671B" w14:textId="77777777" w:rsidR="00D35CB3" w:rsidRPr="00C02782" w:rsidRDefault="00000000">
      <w:pPr>
        <w:snapToGrid w:val="0"/>
        <w:spacing w:before="120" w:after="120"/>
        <w:ind w:firstLine="709"/>
        <w:jc w:val="both"/>
        <w:rPr>
          <w:color w:val="000000" w:themeColor="text1"/>
          <w:sz w:val="28"/>
          <w:szCs w:val="28"/>
        </w:rPr>
      </w:pPr>
      <w:r w:rsidRPr="00C02782">
        <w:rPr>
          <w:color w:val="000000" w:themeColor="text1"/>
          <w:sz w:val="28"/>
          <w:szCs w:val="28"/>
        </w:rPr>
        <w:t>c) Mức an toàn để thực hiện: dự án nghiên cứu không thuộc trường hợp quy định tại điểm a, điểm b khoản này được thực hiện theo quy trình đăng ký, phê duyệt thông thường quy định tại Điều 17 Quy chế này, không phải qua bước đánh giá rủi ro bổ sung.</w:t>
      </w:r>
    </w:p>
    <w:p w14:paraId="3EC96FE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5. Dự án dự thi phải được cơ sở giáo dục nơi học sinh đang học phê duyệt, đánh giá và được đơn vị dự thi quy định tại khoản 1 Điều 5 Quy chế này tổ chức lựa chọn theo quy định tại Điều 17 của Quy chế này.</w:t>
      </w:r>
    </w:p>
    <w:p w14:paraId="50D66C0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6. Dự án dự thi phải bảo đảm yêu cầu về trưng bày theo quy định của Ban chỉ đạo Cuộc thi.</w:t>
      </w:r>
    </w:p>
    <w:p w14:paraId="4CFBE99E" w14:textId="77777777" w:rsidR="008C248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7. Dự án dự thi phải tuân thủ các quy định về công khai, minh bạch và liêm chính khoa học quy định tại Chương III của Quy chế này; việc lập, quản lý, lưu trữ nhật ký nghiên cứu và dữ liệu gốc phải bảo đảm tính trung thực, đầy đủ và có khả năng kiểm chứng.</w:t>
      </w:r>
    </w:p>
    <w:p w14:paraId="773E2365" w14:textId="77777777" w:rsidR="008C248E" w:rsidRPr="00C02782" w:rsidRDefault="008C248E" w:rsidP="0089240E">
      <w:pPr>
        <w:snapToGrid w:val="0"/>
        <w:spacing w:before="120" w:after="120"/>
        <w:ind w:firstLine="709"/>
        <w:jc w:val="both"/>
        <w:rPr>
          <w:color w:val="000000" w:themeColor="text1"/>
          <w:sz w:val="28"/>
          <w:szCs w:val="28"/>
          <w:lang w:val="en-US"/>
        </w:rPr>
      </w:pPr>
      <w:r w:rsidRPr="00C02782">
        <w:rPr>
          <w:color w:val="000000" w:themeColor="text1"/>
          <w:sz w:val="28"/>
          <w:szCs w:val="28"/>
          <w:lang w:val="en-US"/>
        </w:rPr>
        <w:t>8. Việc sử dụng công cụ trí tuệ nhân tạo trong quá trình nghiên cứu phải tuân thủ quy định tại Quy chế này; không được sử dụng AI để thay thế hoạt động nghiên cứu, phân tích hoặc sáng tạo của học sinh.</w:t>
      </w:r>
    </w:p>
    <w:p w14:paraId="25E0C118"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b/>
          <w:bCs/>
          <w:color w:val="000000" w:themeColor="text1"/>
          <w:spacing w:val="-6"/>
          <w:sz w:val="28"/>
          <w:szCs w:val="28"/>
        </w:rPr>
        <w:t>Điều 5. Đơn vị dự thi, số lượng dự án dự thi, học sinh và người hướng dẫn</w:t>
      </w:r>
    </w:p>
    <w:p w14:paraId="3A5C82A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Đơn vị dự thi</w:t>
      </w:r>
    </w:p>
    <w:p w14:paraId="0A0DC8D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Mỗi Sở Giáo dục và Đào tạo; mỗi trường phổ thông trực thuộc Bộ và cơ quan ngang Bộ (sau đây gọi chung là trường trực thuộc Bộ); mỗi đại học, trường đại học, viện, học viện có trường phổ thông là một đơn vị dự thi.</w:t>
      </w:r>
    </w:p>
    <w:p w14:paraId="4DDFB1F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2. Số lượng dự án dự thi</w:t>
      </w:r>
    </w:p>
    <w:p w14:paraId="19BADE8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a) Số dự án dự thi tối đa của mỗi Sở Giáo dục và Đào tạo được tính theo công thức sau: Tỷ lệ dự án dự thi = (Số dự án dự thi cấp Sở Giáo dục và Đào tạo/Tổng số dự án dự thi cấp Sở Giáo dục và Đào tạo của các tỉnh, thành phố) × 100. Trong đó, số dự án dự thi cấp Sở Giáo dục và Đào tạo là tổng số dự án được dự thi cấp sở của Sở Giáo dục và Đào tạo trong năm học liền kề ngay trước năm tổ chức Cuộc thi; tổng số dự án dự thi cấp Sở Giáo dục và Đào tạo của các tỉnh, thành phố là tổng số dự án được dự thi cấp sở của tất cả các Sở Giáo dục và Đào tạo trong năm học liền kề ngay trước năm tổ chức Cuộc thi.</w:t>
      </w:r>
    </w:p>
    <w:p w14:paraId="30F757F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Căn cứ tỷ lệ dự án dự thi, mỗi Sở Giáo dục và Đào tạo được đăng ký số dự án dự thi như sau: tỷ lệ dự án dự thi nhỏ hơn hoặc bằng 01 được đăng ký tối đa 03 (ba) dự án; tỷ lệ dự án dự thi lớn hơn 01 và nhỏ hơn hoặc bằng 05 được đăng ký tối đa 06 (sáu) dự án; tỷ lệ dự án dự thi lớn hơn 05 và nhỏ hơn hoặc bằng 10 được đăng ký tối đa 09 (chín) dự án; tỷ lệ dự án dự thi lớn hơn 10 được đăng ký tối đa 12 (mười hai) dự án.</w:t>
      </w:r>
    </w:p>
    <w:p w14:paraId="1BF6EC7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b) Đối với các đơn vị dự thi là trường trực thuộc Bộ, đại học, trường đại học, viện, học viện, mỗi đơn vị được đăng ký tối đa 03 (ba) dự án dự thi;</w:t>
      </w:r>
    </w:p>
    <w:p w14:paraId="6ADB22A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 Đơn vị đăng cai tổ chức Cuộc thi được đăng ký thêm tối đa 06 (sáu) dự án dự thi;</w:t>
      </w:r>
    </w:p>
    <w:p w14:paraId="73CCE65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d) Đơn vị dự thi được cử thêm 01 (một) dự án dự thi trên mỗi dự án đoạt giải Tư trở lên tại cuộc thi quốc tế trong năm liền kề trước đó do Bộ Giáo dục và Đào tạo chọn cử tham gia.</w:t>
      </w:r>
    </w:p>
    <w:p w14:paraId="16AE502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đ) Số lượng dự án dự thi quy định tại khoản này là tổng số dự án dự thi của đơn vị dự thi cho học sinh trung học cơ sở và học sinh trung học phổ thông; đơn vị dự thi tự quyết định phân bổ số lượng dự án dự thi giữa hai cấp học phù hợp với điều kiện thực tế.</w:t>
      </w:r>
    </w:p>
    <w:p w14:paraId="3844F3C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Học sinh dự thi và người hướng dẫn nghiên cứu</w:t>
      </w:r>
    </w:p>
    <w:p w14:paraId="4849FC4E" w14:textId="187642E5"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Học sinh dự thi phải có đủ các điều kiện sau: là học sinh thuộc phạm vi áp dụng quy định tại Điều 1 Quy chế này; đối với cấp trung học cơ sở, học sinh dự thi phải đang học từ lớp 8 </w:t>
      </w:r>
      <w:r w:rsidR="000962A5" w:rsidRPr="00C02782">
        <w:rPr>
          <w:color w:val="000000" w:themeColor="text1"/>
          <w:sz w:val="28"/>
          <w:szCs w:val="28"/>
        </w:rPr>
        <w:t>hoặc lớp 9</w:t>
      </w:r>
      <w:r w:rsidRPr="00C02782">
        <w:rPr>
          <w:color w:val="000000" w:themeColor="text1"/>
          <w:sz w:val="28"/>
          <w:szCs w:val="28"/>
        </w:rPr>
        <w:t>; tự nguyện tham gia và được chọn vào đội tuyển của đơn vị dự thi; có kết quả học tập, rèn luyện học kỳ I (nếu Cuộc thi được tổ chức trong học kỳ II) hoặc năm học liền kề trước năm học tổ chức Cuộc thi (nếu Cuộc thi được tổ chức trong học kỳ I) đạt từ mức khá trở lên; mỗi học sinh chỉ được tham gia 01 (một) dự án dự thi trong 01 (một) lần tổ chức Cuộc thi;</w:t>
      </w:r>
    </w:p>
    <w:p w14:paraId="59610757" w14:textId="77777777" w:rsidR="00816167"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b) Người hướng dẫn nghiên cứu: mỗi dự án dự thi có ít nhất 01 (một) người hướng dẫn nghiên cứu là giáo viên, nhân viên có chuyên môn phù hợp với dự án dự thi đang làm việc tại cơ sở giáo dục nơi học sinh đang học; trường hợp cần thiết, dự án dự thi có thể có thêm 01 (một) người hướng dẫn nghiên cứu là chuyên gia có trình độ thạc sĩ trở lên đang công tác tại viện nghiên cứu, trường đại học, cơ quan, doanh nghiệp, tổ chức khoa học và công nghệ; mỗi người hướng dẫn nghiên cứu chỉ được hướng dẫn 01 (một) dự án dự thi trong 01 (một) lần tổ chức Cuộc thi.</w:t>
      </w:r>
    </w:p>
    <w:p w14:paraId="7A63679F" w14:textId="77777777" w:rsidR="00D35CB3" w:rsidRPr="00C02782" w:rsidRDefault="00000000">
      <w:pPr>
        <w:snapToGrid w:val="0"/>
        <w:spacing w:before="120" w:after="120"/>
        <w:ind w:firstLine="709"/>
        <w:jc w:val="both"/>
        <w:rPr>
          <w:color w:val="000000" w:themeColor="text1"/>
          <w:sz w:val="28"/>
          <w:szCs w:val="28"/>
        </w:rPr>
      </w:pPr>
      <w:r w:rsidRPr="00C02782">
        <w:rPr>
          <w:color w:val="000000" w:themeColor="text1"/>
          <w:sz w:val="28"/>
          <w:szCs w:val="28"/>
        </w:rPr>
        <w:lastRenderedPageBreak/>
        <w:t>4. Mở rộng sự tham gia của học sinh nước ngoài</w:t>
      </w:r>
    </w:p>
    <w:p w14:paraId="528B48DB" w14:textId="77777777" w:rsidR="00D35CB3" w:rsidRPr="00C02782" w:rsidRDefault="00000000">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Trên cơ sở đề xuất của Ban chỉ đạo Cuộc thi, Bộ Giáo dục và Đào tạo xem xét, quyết định việc mời đoàn học sinh, dự án nghiên cứu khoa học, kỹ thuật của học sinh các quốc gia, vùng lãnh thổ khác tham gia giao lưu, trưng bày tại Cuộc thi. Dự án của học sinh nước ngoài tham gia theo hình thức giao lưu, không thuộc đối tượng xếp giải và không tính vào số lượng, cơ cấu dự án dự thi quy định tại khoản 2 Điều này.</w:t>
      </w:r>
    </w:p>
    <w:p w14:paraId="4476CA68"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6. Thời gian, địa điểm và kinh phí tổ chức Cuộc thi</w:t>
      </w:r>
    </w:p>
    <w:p w14:paraId="1C3FD14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Cuộc thi được tổ chức mỗi năm 01 (một) lần; thời gian tổ chức Cuộc thi cấp quốc gia được sắp xếp bảo đảm khoảng cách hợp lý trước thời điểm tổ chức các cuộc thi khoa học, kỹ thuật quốc tế để có đủ thời gian hoàn thiện dự án và bồi dưỡng đội tuyển tham dự theo quy định tại Chương VI Quy chế này.</w:t>
      </w:r>
    </w:p>
    <w:p w14:paraId="574B331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Thời gian, địa điểm tổ chức Cuộc thi hằng năm được thông báo tại văn bản hướng dẫn tổ chức Cuộc thi của Bộ Giáo dục và Đào tạo.</w:t>
      </w:r>
    </w:p>
    <w:p w14:paraId="7AF3744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Kinh phí tổ chức Cuộc thi từ nguồn ngân sách nhà nước và các nguồn kinh phí hợp pháp khác, bao gồm kinh phí tổ chức Cuộc thi tại đơn vị đăng cai do đơn vị đăng cai chi trả và kinh phí tổ chức thẩm định dự án dự thi, chấm thi do Bộ Giáo dục và Đào tạo chi trả. Nội dung và mức chi cho các hoạt động của Cuộc thi thực hiện theo quy định hiện hành. Trường hợp có mức chi đặc thù ngoài các quy định chung của Bộ Tài chính, các đơn vị chi trả trình cơ quan có thẩm quyền quyết định theo quy định của Luật Ngân sách nhà nước.</w:t>
      </w:r>
    </w:p>
    <w:p w14:paraId="68BFFAB1" w14:textId="77777777" w:rsidR="0089240E" w:rsidRPr="00C02782" w:rsidRDefault="0089240E">
      <w:pPr>
        <w:rPr>
          <w:b/>
          <w:bCs/>
          <w:color w:val="000000" w:themeColor="text1"/>
          <w:sz w:val="28"/>
          <w:szCs w:val="28"/>
        </w:rPr>
      </w:pPr>
    </w:p>
    <w:p w14:paraId="280135BD"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II</w:t>
      </w:r>
    </w:p>
    <w:p w14:paraId="51775A8B" w14:textId="77777777" w:rsidR="00816167" w:rsidRPr="00C02782" w:rsidRDefault="006D16DD" w:rsidP="0089240E">
      <w:pPr>
        <w:snapToGrid w:val="0"/>
        <w:spacing w:before="120" w:after="120"/>
        <w:jc w:val="center"/>
        <w:rPr>
          <w:color w:val="000000" w:themeColor="text1"/>
          <w:spacing w:val="-14"/>
          <w:sz w:val="28"/>
          <w:szCs w:val="28"/>
        </w:rPr>
      </w:pPr>
      <w:r w:rsidRPr="00C02782">
        <w:rPr>
          <w:b/>
          <w:bCs/>
          <w:color w:val="000000" w:themeColor="text1"/>
          <w:spacing w:val="-14"/>
          <w:sz w:val="28"/>
          <w:szCs w:val="28"/>
        </w:rPr>
        <w:t>BAN CHỈ ĐẠO, HỘI ĐỒNG THẨM ĐỊNH HỒ SƠ DỰ THI, BAN GIÁM KHẢO</w:t>
      </w:r>
    </w:p>
    <w:p w14:paraId="6AD959E4"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7. Ban chỉ đạo Cuộc thi</w:t>
      </w:r>
    </w:p>
    <w:p w14:paraId="2F5A600A"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1. Bộ trưởng Bộ Giáo dục và Đào tạo thành lập Ban chỉ đạo Cuộc thi, gồm: </w:t>
      </w:r>
    </w:p>
    <w:p w14:paraId="39231BCD"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Trưởng ban là Lãnh đạo Bộ Giáo dục và Đào tạo; </w:t>
      </w:r>
    </w:p>
    <w:p w14:paraId="12EE5BD8"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Phó Trưởng ban là Lãnh đạo Vụ Giáo dục Phổ thông, Lãnh đạo một số đơn vị thuộc Bộ Giáo dục và Đào tạo và lãnh đạo tỉnh, thành phố nơi đăng cai tổ chức Cuộc thi; </w:t>
      </w:r>
    </w:p>
    <w:p w14:paraId="5D46352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 Ủy viên là Lãnh đạo, chuyên viên các đơn vị thuộc Bộ Giáo dục và Đào tạo và đơn vị đăng cai tổ chức Cuộc thi.</w:t>
      </w:r>
    </w:p>
    <w:p w14:paraId="6972D2A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Nhiệm vụ và quyền hạn của Ban chỉ đạo Cuộc thi: Giúp Bộ trưởng Bộ Giáo dục và Đào tạo chỉ đạo, tổ chức Cuộc thi.</w:t>
      </w:r>
    </w:p>
    <w:p w14:paraId="7508C35C"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3. Nhiệm vụ và quyền hạn của Trưởng Ban chỉ đạo: </w:t>
      </w:r>
    </w:p>
    <w:p w14:paraId="6C3B8712"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Chỉ đạo Cuộc thi; phê duyệt Kế hoạch tổ chức Cuộc thi; thành lập Hội đồng thẩm định hồ sơ dự thi; phê duyệt cơ cấu lĩnh vực và nhóm lĩnh vực dự thi; phê duyệt cơ cấu xếp giải của Cuộc thi; phê duyệt danh sách dự án dự thi; </w:t>
      </w:r>
    </w:p>
    <w:p w14:paraId="42B9B80C" w14:textId="77777777" w:rsidR="00F633A1"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lastRenderedPageBreak/>
        <w:t xml:space="preserve">b) Phê duyệt quy trình hướng dẫn chấm thi; thành lập Ban Giám khảo; phê duyệt kết quả đoạt giải của các dự án dự thi; phê duyệt danh sách dự án dự thi quốc tế; </w:t>
      </w:r>
    </w:p>
    <w:p w14:paraId="69D67D9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 Quyết định xử lý các tình huống bất thường phát sinh trong quá trình tổ chức Cuộc thi.</w:t>
      </w:r>
    </w:p>
    <w:p w14:paraId="649D3D3B"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8. Đơn vị thường trực Ban chỉ đạo Cuộc thi</w:t>
      </w:r>
    </w:p>
    <w:p w14:paraId="7F42FAC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Vụ Giáo dục Phổ thông là đơn vị thường trực Ban chỉ đạo Cuộc thi.</w:t>
      </w:r>
    </w:p>
    <w:p w14:paraId="479C08F9"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Nhiệm vụ của đơn vị thường trực Ban chỉ đạo Cuộc thi: </w:t>
      </w:r>
    </w:p>
    <w:p w14:paraId="48112062"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Chủ trì tham mưu ban hành văn bản hướng dẫn tổ chức Cuộc thi hằng năm của Bộ Giáo dục và Đào tạo; kế hoạch tổ chức Cuộc thi; các Quyết định thành lập Ban Chỉ đạo; Hội đồng thẩm định hồ sơ dự án dự thi; Ban Giám khảo; </w:t>
      </w:r>
    </w:p>
    <w:p w14:paraId="541426F8"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Thu nhận, tổng hợp, quản lý hồ sơ dự thi; </w:t>
      </w:r>
    </w:p>
    <w:p w14:paraId="2427C9FE"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Phối hợp với đơn vị đăng cai tổ chức Cuộc thi chuẩn bị địa điểm, cơ sở vật chất, trang thiết bị và các điều kiện tổ chức Cuộc thi; </w:t>
      </w:r>
    </w:p>
    <w:p w14:paraId="257CDD35"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d) Bảo quản hồ sơ dự thi và nộp lưu trữ theo quy định; </w:t>
      </w:r>
    </w:p>
    <w:p w14:paraId="423EFC1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đ) Tham mưu Trưởng ban Chỉ đạo và lãnh đạo Bộ Giáo dục và Đào tạo xử lý các tình huống bất thường phát sinh trong quá trình tổ chức Cuộc thi.</w:t>
      </w:r>
    </w:p>
    <w:p w14:paraId="055AD7C7"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9. Hội đồng thẩm định hồ sơ dự thi</w:t>
      </w:r>
    </w:p>
    <w:p w14:paraId="0914AEB6" w14:textId="77777777" w:rsidR="00F633A1" w:rsidRPr="00C02782" w:rsidRDefault="006D16DD" w:rsidP="0089240E">
      <w:pPr>
        <w:snapToGrid w:val="0"/>
        <w:spacing w:before="120" w:after="120"/>
        <w:ind w:firstLine="709"/>
        <w:jc w:val="both"/>
        <w:rPr>
          <w:color w:val="000000" w:themeColor="text1"/>
          <w:spacing w:val="-14"/>
          <w:sz w:val="28"/>
          <w:szCs w:val="28"/>
        </w:rPr>
      </w:pPr>
      <w:r w:rsidRPr="00C02782">
        <w:rPr>
          <w:color w:val="000000" w:themeColor="text1"/>
          <w:spacing w:val="-14"/>
          <w:sz w:val="28"/>
          <w:szCs w:val="28"/>
        </w:rPr>
        <w:t xml:space="preserve">1. Hội đồng thẩm định hồ sơ dự thi do Trưởng Ban chỉ đạo quyết định thành lập, gồm: </w:t>
      </w:r>
    </w:p>
    <w:p w14:paraId="797F1F2E"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Chủ tịch là Lãnh đạo Vụ Giáo dục Phổ thông; </w:t>
      </w:r>
    </w:p>
    <w:p w14:paraId="1CDC2837"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Phó Chủ tịch là Lãnh đạo các vụ, cục thuộc Bộ Giáo dục và Đào tạo; </w:t>
      </w:r>
    </w:p>
    <w:p w14:paraId="44FF8D3D"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Thư ký là chuyên viên các đơn vị thuộc Bộ Giáo dục và Đào tạo; </w:t>
      </w:r>
    </w:p>
    <w:p w14:paraId="1ADA2D0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d) Ủy viên là nhà khoa học, chuyên viên, giảng viên, giáo viên.</w:t>
      </w:r>
    </w:p>
    <w:p w14:paraId="3EFE7DDF"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Trách nhiệm của Hội đồng thẩm định hồ sơ dự thi: </w:t>
      </w:r>
    </w:p>
    <w:p w14:paraId="442FB86A" w14:textId="77777777" w:rsidR="00F633A1"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Thẩm định hồ sơ dự thi theo quy định của Quy chế này và các văn bản hướng dẫn tổ chức Cuộc thi hằng năm của Bộ Giáo dục và Đào tạo; </w:t>
      </w:r>
    </w:p>
    <w:p w14:paraId="75C2A3A1" w14:textId="77777777" w:rsidR="00816167" w:rsidRPr="00C02782" w:rsidRDefault="006D16DD" w:rsidP="0089240E">
      <w:pPr>
        <w:snapToGrid w:val="0"/>
        <w:spacing w:before="120" w:after="120"/>
        <w:ind w:firstLine="709"/>
        <w:jc w:val="both"/>
        <w:rPr>
          <w:color w:val="000000" w:themeColor="text1"/>
          <w:spacing w:val="-8"/>
          <w:sz w:val="28"/>
          <w:szCs w:val="28"/>
        </w:rPr>
      </w:pPr>
      <w:r w:rsidRPr="00C02782">
        <w:rPr>
          <w:color w:val="000000" w:themeColor="text1"/>
          <w:spacing w:val="-8"/>
          <w:sz w:val="28"/>
          <w:szCs w:val="28"/>
        </w:rPr>
        <w:t>b) Lập danh sách dự án đủ điều kiện dự thi và đề xuất cơ cấu lĩnh vực, nhóm lĩnh vực dự thi quy định tại Phụ lục 1 Quy chế này trình Trưởng Ban Chỉ đạo phê duyệt.</w:t>
      </w:r>
    </w:p>
    <w:p w14:paraId="470C519F"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10. Ban giám khảo</w:t>
      </w:r>
    </w:p>
    <w:p w14:paraId="3EA41D99" w14:textId="77777777" w:rsidR="00F633A1"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 xml:space="preserve">1. Ban giám khảo Cuộc thi do Trưởng Ban chỉ đạo quyết định thành lập, gồm: </w:t>
      </w:r>
    </w:p>
    <w:p w14:paraId="39105272" w14:textId="77777777" w:rsidR="00F633A1" w:rsidRPr="00C02782" w:rsidRDefault="006D16DD" w:rsidP="0089240E">
      <w:pPr>
        <w:snapToGrid w:val="0"/>
        <w:spacing w:before="120" w:after="120"/>
        <w:ind w:firstLine="709"/>
        <w:jc w:val="both"/>
        <w:rPr>
          <w:color w:val="000000" w:themeColor="text1"/>
          <w:spacing w:val="-10"/>
          <w:sz w:val="28"/>
          <w:szCs w:val="28"/>
        </w:rPr>
      </w:pPr>
      <w:r w:rsidRPr="00C02782">
        <w:rPr>
          <w:color w:val="000000" w:themeColor="text1"/>
          <w:spacing w:val="-10"/>
          <w:sz w:val="28"/>
          <w:szCs w:val="28"/>
        </w:rPr>
        <w:t xml:space="preserve">a) Trưởng ban là nhà khoa học có uy tín có học hàm, học vị từ phó giáo sư trở lên; </w:t>
      </w:r>
    </w:p>
    <w:p w14:paraId="4237AD6A" w14:textId="77777777" w:rsidR="00B14738"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 xml:space="preserve">b) Giám khảo là các nhà khoa học, chuyên viên, giảng viên, giáo viên, có chuyên môn phù hợp với lĩnh vực của Cuộc thi. Mỗi lĩnh vực hoặc nhóm lĩnh vực dự thi có 01 (một) tiểu ban giám khảo; mỗi tiểu ban giám khảo có 01 (một) Trưởng tiểu ban đồng thời là giám khảo của tiểu ban đó; giám khảo được phân công chấm thi đúng lĩnh vực hoặc nhóm lĩnh vực có chuyên ngành đào tạo, kinh nghiệm nghiên cứu hoặc giảng dạy phù hợp với lĩnh vực đó; Trưởng tiểu ban giám khảo phải có chuyên môn đúng chuyên ngành thuộc lĩnh vực hoặc nhóm lĩnh vực phụ trách; </w:t>
      </w:r>
    </w:p>
    <w:p w14:paraId="6D0498B7"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c) Thư ký giúp việc cho Ban giám khảo là chuyên viên các đơn vị thuộc Bộ Giáo dục và Đào tạo, giảng viên, giáo viên.</w:t>
      </w:r>
    </w:p>
    <w:p w14:paraId="6463A32F"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Nhiệm vụ và quyền hạn của Ban giám khảo: </w:t>
      </w:r>
    </w:p>
    <w:p w14:paraId="5D7821E8"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Nghiên cứu, thực hiện quy trình chấm thi, biểu điểm theo hướng dẫn chấm thi đã được Trưởng Ban chỉ đạo Cuộc thi phê duyệt; </w:t>
      </w:r>
    </w:p>
    <w:p w14:paraId="64B9A755"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Tổ chức chấm thi; đề xuất xếp giải Cuộc thi; </w:t>
      </w:r>
    </w:p>
    <w:p w14:paraId="415550DB"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Chịu trách nhiệm về tính chính xác, công bằng, khách quan trong việc đánh giá các dự án dự thi; </w:t>
      </w:r>
    </w:p>
    <w:p w14:paraId="010BA76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d) Đề xuất phương án xử lý đối với các vấn đề phát sinh trong quá trình chấm thi trình Trưởng Ban chỉ đạo Cuộc thi quyết định.</w:t>
      </w:r>
    </w:p>
    <w:p w14:paraId="37218C42"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11. Tiêu chuẩn đối với người tham gia tổ chức Cuộc thi</w:t>
      </w:r>
    </w:p>
    <w:p w14:paraId="1D0E8D2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Thành viên Ban chỉ đạo, Hội đồng thẩm định hồ sơ dự thi, Ban giám khảo và Ban tổ chức Cuộc thi là những người tham gia tổ chức Cuộc thi.</w:t>
      </w:r>
    </w:p>
    <w:p w14:paraId="5249F9EB"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Những người tham gia tổ chức Cuộc thi phải đáp ứng các tiêu chuẩn sau: </w:t>
      </w:r>
    </w:p>
    <w:p w14:paraId="7B0583A9"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Có phẩm chất đạo đức tốt, tinh thần trách nhiệm cao; </w:t>
      </w:r>
    </w:p>
    <w:p w14:paraId="1D98DBB0"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Có năng lực chuyên môn phù hợp, có kinh nghiệm đáp ứng yêu cầu nhiệm vụ của Cuộc thi; </w:t>
      </w:r>
    </w:p>
    <w:p w14:paraId="0C30BAFE" w14:textId="77777777" w:rsidR="00B14738" w:rsidRPr="00C02782" w:rsidRDefault="006D16DD" w:rsidP="0089240E">
      <w:pPr>
        <w:snapToGrid w:val="0"/>
        <w:spacing w:before="120" w:after="120"/>
        <w:ind w:firstLine="709"/>
        <w:jc w:val="both"/>
        <w:rPr>
          <w:color w:val="000000" w:themeColor="text1"/>
          <w:spacing w:val="-8"/>
          <w:sz w:val="28"/>
          <w:szCs w:val="28"/>
        </w:rPr>
      </w:pPr>
      <w:r w:rsidRPr="00C02782">
        <w:rPr>
          <w:color w:val="000000" w:themeColor="text1"/>
          <w:spacing w:val="-8"/>
          <w:sz w:val="28"/>
          <w:szCs w:val="28"/>
        </w:rPr>
        <w:t xml:space="preserve">c) Không có vợ, chồng, con, anh, chị, em, cháu ruột hoặc anh, chị, em, cháu ruột của vợ (hoặc chồng), con riêng của vợ (hoặc chồng) dự thi trong năm tổ chức Cuộc thi; </w:t>
      </w:r>
    </w:p>
    <w:p w14:paraId="448263C3"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d) Không phải là người hướng dẫn hoặc đang trực tiếp dạy học học sinh; </w:t>
      </w:r>
    </w:p>
    <w:p w14:paraId="593A003D" w14:textId="77777777" w:rsidR="00816167" w:rsidRPr="00C02782" w:rsidRDefault="006D16DD" w:rsidP="0089240E">
      <w:pPr>
        <w:snapToGrid w:val="0"/>
        <w:spacing w:before="120" w:after="120"/>
        <w:ind w:firstLine="709"/>
        <w:jc w:val="both"/>
        <w:rPr>
          <w:color w:val="000000" w:themeColor="text1"/>
          <w:spacing w:val="-10"/>
          <w:sz w:val="28"/>
          <w:szCs w:val="28"/>
        </w:rPr>
      </w:pPr>
      <w:r w:rsidRPr="00C02782">
        <w:rPr>
          <w:color w:val="000000" w:themeColor="text1"/>
          <w:spacing w:val="-10"/>
          <w:sz w:val="28"/>
          <w:szCs w:val="28"/>
        </w:rPr>
        <w:t>đ) Không trong thời gian bị xem xét kỷ luật hoặc bị truy cứu trách nhiệm hình sự.</w:t>
      </w:r>
    </w:p>
    <w:p w14:paraId="2127FA2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Trước khi được phân công nhiệm vụ ít nhất 05 (năm) ngày làm việc, người tham gia tổ chức Cuộc thi phải kê khai bằng văn bản về mối quan hệ nhân thân, chuyên môn với học sinh, đơn vị dự thi có dự án dự thi trong năm tổ chức Cuộc thi và cam kết thực hiện nhiệm vụ độc lập, khách quan; trường hợp phát hiện có xung đột lợi ích, phải báo cáo ngay với Trưởng Ban chỉ đạo Cuộc thi để xem xét, phân công lại.</w:t>
      </w:r>
    </w:p>
    <w:p w14:paraId="15B57E45" w14:textId="77777777" w:rsidR="00B14738" w:rsidRPr="00C02782" w:rsidRDefault="00B14738" w:rsidP="0089240E">
      <w:pPr>
        <w:snapToGrid w:val="0"/>
        <w:spacing w:before="120" w:after="120"/>
        <w:ind w:firstLine="709"/>
        <w:jc w:val="both"/>
        <w:rPr>
          <w:b/>
          <w:bCs/>
          <w:color w:val="000000" w:themeColor="text1"/>
          <w:sz w:val="28"/>
          <w:szCs w:val="28"/>
        </w:rPr>
      </w:pPr>
    </w:p>
    <w:p w14:paraId="6EB9E273"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III</w:t>
      </w:r>
    </w:p>
    <w:p w14:paraId="6C313742"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CÔNG KHAI, MINH BẠCH VÀ LIÊM CHÍNH KHOA HỌC</w:t>
      </w:r>
    </w:p>
    <w:p w14:paraId="3721C4F4"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12. Công khai thông tin về Cuộc thi</w:t>
      </w:r>
    </w:p>
    <w:p w14:paraId="258DA6B9" w14:textId="77777777" w:rsidR="008C248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1. Đơn vị thường trực Ban chỉ đạo Cuộc thi có trách nhiệm công khai nội dung sau: </w:t>
      </w:r>
    </w:p>
    <w:p w14:paraId="4641D821" w14:textId="77777777" w:rsidR="008C248E" w:rsidRPr="00C02782" w:rsidRDefault="008C248E" w:rsidP="0089240E">
      <w:pPr>
        <w:pStyle w:val="pdq2pgselectionanchorcontainer"/>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a) Danh mục lĩnh vực dự thi; tiêu chí đánh giá, thang điểm; kế hoạch, thời gian và địa điểm tổ chức Cuộc thi;</w:t>
      </w:r>
    </w:p>
    <w:p w14:paraId="670D4A6B" w14:textId="77777777" w:rsidR="008C248E" w:rsidRPr="00C02782" w:rsidRDefault="008C248E" w:rsidP="0089240E">
      <w:pPr>
        <w:pStyle w:val="NormalWeb"/>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lastRenderedPageBreak/>
        <w:t>b) Danh sách dự án dự thi do các đơn vị dự thi lựa chọn tham gia Cuộc thi cấp quốc gia, bao gồm: tên dự án, lĩnh vực dự thi, tác giả, người hướng dẫn, đơn vị dự thi;</w:t>
      </w:r>
    </w:p>
    <w:p w14:paraId="03ECE250" w14:textId="77777777" w:rsidR="008C248E" w:rsidRPr="00C02782" w:rsidRDefault="008C248E" w:rsidP="0089240E">
      <w:pPr>
        <w:pStyle w:val="NormalWeb"/>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c) Báo cáo tóm tắt kết quả thực hiện dự án dự thi (không quá 250 từ) và áp phích/poster của dự án dự thi;</w:t>
      </w:r>
    </w:p>
    <w:p w14:paraId="31B2B8B5" w14:textId="77777777" w:rsidR="008C248E" w:rsidRPr="00C02782" w:rsidRDefault="008C248E" w:rsidP="0089240E">
      <w:pPr>
        <w:pStyle w:val="NormalWeb"/>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d) Kết quả xếp giải và các thông tin khác theo quyết định của Trưởng Ban chỉ đạo Cuộc thi.</w:t>
      </w:r>
    </w:p>
    <w:p w14:paraId="3064C096"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Đơn vị dự thi có trách nhiệm công khai tại cơ sở giáo dục và trên trang thông tin điện tử danh sách dự án dự thi được chọn cử tham gia Cuộc thi cấp quốc gia trước ngày khai mạc Cuộc thi ít nhất 15 (mười lăm) ngày.</w:t>
      </w:r>
    </w:p>
    <w:p w14:paraId="243D0340" w14:textId="77777777" w:rsidR="008C248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Việc công khai thông tin phải bảo đảm tuân thủ quy định của pháp luật về bảo vệ dữ liệu cá nhân, quyền sở hữu trí tuệ, bí mật nhà nước (nếu có) và các quy định khác của pháp luật có liên quan. Đối với dữ liệu cá nhân của học sinh chưa thành niên, việc công khai chỉ được thực hiện khi có sự đồng ý phù hợp của học sinh và người đại diện theo pháp luật của học sinh theo quy định của pháp luật về bảo vệ dữ liệu cá nhân.</w:t>
      </w:r>
    </w:p>
    <w:p w14:paraId="53B2700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4. Đối với dự án dự thi đang trong quá trình đăng ký xác lập quyền sở hữu trí tuệ, đơn vị dự thi được giới hạn công khai đối với nội dung, sơ đồ, công thức cốt lõi liên quan trực tiếp đến hồ sơ đăng ký bảo hộ, trên cơ sở đề nghị bằng văn bản của học sinh, người hướng dẫn nghiên cứu và xác nhận của cơ sở giáo dục.</w:t>
      </w:r>
    </w:p>
    <w:p w14:paraId="7F80F58A"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13. Tiếp nhận, xử lý phản ánh, kiến nghị</w:t>
      </w:r>
    </w:p>
    <w:p w14:paraId="11589B0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Đơn vị thường trực Ban chỉ đạo Cuộc thi có trách nhiệm công khai địa chỉ, hình thức tiếp nhận phản ánh, kiến nghị về dấu hiệu vi phạm quy chế, liêm chính khoa học, tính nguyên gốc của dự án dự thi.</w:t>
      </w:r>
    </w:p>
    <w:p w14:paraId="0F404AF7"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Trong thời hạn 07 (bảy) ngày làm việc kể từ ngày nhận được phản ánh, kiến nghị có căn cứ cụ thể, đơn vị thường trực Ban chỉ đạo Cuộc thi báo cáo Trưởng Ban chỉ đạo xem xét, quyết định việc xác minh.</w:t>
      </w:r>
    </w:p>
    <w:p w14:paraId="30889D07" w14:textId="77777777" w:rsidR="008C248E"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3. Trường hợp cần thiết, Trưởng Ban chỉ đạo Cuộc thi quyết định thành lập Tổ tư vấn để xác minh, đánh giá dự án dự thi có phản ánh, kiến nghị; </w:t>
      </w:r>
    </w:p>
    <w:p w14:paraId="03FCF156" w14:textId="77777777" w:rsidR="00816167" w:rsidRPr="00C02782" w:rsidRDefault="008C248E" w:rsidP="0089240E">
      <w:pPr>
        <w:snapToGrid w:val="0"/>
        <w:spacing w:before="120" w:after="120"/>
        <w:ind w:firstLine="709"/>
        <w:jc w:val="both"/>
        <w:rPr>
          <w:color w:val="000000" w:themeColor="text1"/>
          <w:sz w:val="28"/>
          <w:szCs w:val="28"/>
        </w:rPr>
      </w:pPr>
      <w:r w:rsidRPr="00C02782">
        <w:rPr>
          <w:color w:val="000000" w:themeColor="text1"/>
          <w:sz w:val="28"/>
          <w:szCs w:val="28"/>
          <w:lang w:val="en-US"/>
        </w:rPr>
        <w:t xml:space="preserve">4. </w:t>
      </w:r>
      <w:r w:rsidRPr="00C02782">
        <w:rPr>
          <w:color w:val="000000" w:themeColor="text1"/>
          <w:sz w:val="28"/>
          <w:szCs w:val="28"/>
        </w:rPr>
        <w:t xml:space="preserve">Kết quả xác minh là căn cứ để </w:t>
      </w:r>
      <w:r w:rsidRPr="00C02782">
        <w:rPr>
          <w:color w:val="000000" w:themeColor="text1"/>
          <w:sz w:val="28"/>
          <w:szCs w:val="28"/>
          <w:lang w:val="en-US"/>
        </w:rPr>
        <w:t>Ban Chỉ đạo Cuộc thi x</w:t>
      </w:r>
      <w:r w:rsidRPr="00C02782">
        <w:rPr>
          <w:color w:val="000000" w:themeColor="text1"/>
          <w:sz w:val="28"/>
          <w:szCs w:val="28"/>
        </w:rPr>
        <w:t>em xét, xử lý theo quy định tại Quy chế này</w:t>
      </w:r>
      <w:r w:rsidRPr="00C02782">
        <w:rPr>
          <w:color w:val="000000" w:themeColor="text1"/>
          <w:sz w:val="28"/>
          <w:szCs w:val="28"/>
          <w:lang w:val="en-US"/>
        </w:rPr>
        <w:t xml:space="preserve"> và các quy định của pháp luật có liên quan</w:t>
      </w:r>
      <w:r w:rsidRPr="00C02782">
        <w:rPr>
          <w:color w:val="000000" w:themeColor="text1"/>
          <w:sz w:val="28"/>
          <w:szCs w:val="28"/>
        </w:rPr>
        <w:t>.</w:t>
      </w:r>
    </w:p>
    <w:p w14:paraId="19C310EA" w14:textId="77777777" w:rsidR="008C248E" w:rsidRPr="00C02782" w:rsidRDefault="008C248E" w:rsidP="0089240E">
      <w:pPr>
        <w:snapToGrid w:val="0"/>
        <w:spacing w:before="120" w:after="120"/>
        <w:ind w:firstLine="709"/>
        <w:jc w:val="both"/>
        <w:rPr>
          <w:color w:val="000000" w:themeColor="text1"/>
          <w:sz w:val="28"/>
          <w:szCs w:val="28"/>
        </w:rPr>
      </w:pPr>
      <w:r w:rsidRPr="00C02782">
        <w:rPr>
          <w:color w:val="000000" w:themeColor="text1"/>
          <w:sz w:val="28"/>
          <w:szCs w:val="28"/>
          <w:lang w:val="en-US"/>
        </w:rPr>
        <w:t>5. Tổ chức, cá nhân gửi phản ánh, kiến nghị chịu trách nhiệm trước pháp luật về tính trung thực, khách quan của nội dung phản ánh, kiến nghị; nghiêm cấm việc lợi dụng quyền phản ánh, kiến nghị để vu khống, xúc phạm danh dự, nhân phẩm hoặc gây ảnh hưởng đến uy tín của tổ chức, cá nhân khác.</w:t>
      </w:r>
    </w:p>
    <w:p w14:paraId="6B6C9BF9" w14:textId="77777777" w:rsidR="00A33FFB" w:rsidRPr="00C02782" w:rsidRDefault="00000000" w:rsidP="0089240E">
      <w:pPr>
        <w:snapToGrid w:val="0"/>
        <w:spacing w:before="120" w:after="120"/>
        <w:ind w:firstLine="709"/>
        <w:jc w:val="both"/>
        <w:rPr>
          <w:color w:val="000000" w:themeColor="text1"/>
          <w:sz w:val="28"/>
          <w:szCs w:val="28"/>
        </w:rPr>
      </w:pPr>
      <w:r w:rsidRPr="00C02782">
        <w:rPr>
          <w:color w:val="000000" w:themeColor="text1"/>
          <w:sz w:val="28"/>
          <w:szCs w:val="28"/>
        </w:rPr>
        <w:t>6. Trường hợp nội dung phản ánh, kiến nghị thuộc phạm vi khiếu nại, tố cáo theo quy định của pháp luật thì việc tiếp nhận, giải quyết thực hiện theo quy định của pháp luật về khiếu nại, tố cáo.</w:t>
      </w:r>
    </w:p>
    <w:p w14:paraId="40A89DC9"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14. Nhật ký nghiên cứu, dữ liệu gốc và minh chứng quá trình thực hiện dự án</w:t>
      </w:r>
    </w:p>
    <w:p w14:paraId="1FBA0B7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 xml:space="preserve">1. Trong quá trình thực hiện dự án, học sinh phải lập </w:t>
      </w:r>
      <w:r w:rsidRPr="00C02782">
        <w:rPr>
          <w:color w:val="000000" w:themeColor="text1"/>
          <w:sz w:val="28"/>
          <w:szCs w:val="28"/>
          <w:lang w:val="en-US"/>
        </w:rPr>
        <w:t xml:space="preserve">và lưu giữ </w:t>
      </w:r>
      <w:r w:rsidRPr="00C02782">
        <w:rPr>
          <w:color w:val="000000" w:themeColor="text1"/>
          <w:sz w:val="28"/>
          <w:szCs w:val="28"/>
        </w:rPr>
        <w:t>nhật ký nghiên cứu (bằng hình thức điện tử hoặc văn bản) ghi nhận đầy đủ, liên tục quá trình nghiên cứu, gồm: thời gian, nội dung công việc, phương pháp thực hiện, kết quả từng giai đoạn và vai trò cụ thể của từng thành viên (đối với dự án tập thể). Người hướng dẫn nghiên cứu có trách nhiệm xác nhận định kỳ vào nhật ký nghiên cứu để thể hiện việc hướng dẫn, giám sát quá trình thực hiện dự án.</w:t>
      </w:r>
    </w:p>
    <w:p w14:paraId="3F56160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Học sinh có trách nhiệm lưu giữ dữ liệu gốc, tài liệu, hình ảnh, video liên quan đến quá trình thực hiện dự án và cung cấp khi được cơ sở giáo dục, đơn vị dự thi hoặc Hội đồng thẩm định hồ sơ dự thi yêu cầu.</w:t>
      </w:r>
    </w:p>
    <w:p w14:paraId="6498609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Nhật ký nghiên cứu và dữ liệu gốc là căn cứ để cơ sở giáo dục, đơn vị dự thi, Hội đồng thẩm định hồ sơ dự thi phân biệt mức độ tham gia thực chất của học sinh với vai trò hỗ trợ, hướng dẫn của giáo viên, nhà khoa học; là tài liệu bắt buộc phải xuất trình khi được yêu cầu xác minh theo Điều 13 Quy chế này.</w:t>
      </w:r>
    </w:p>
    <w:p w14:paraId="44BF3ED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4. Bộ Giáo dục và Đào tạo hướng dẫn cụ thể lộ trình áp dụng, chuẩn định dạng dữ liệu, mẫu, </w:t>
      </w:r>
      <w:r w:rsidRPr="00C02782">
        <w:rPr>
          <w:color w:val="000000" w:themeColor="text1"/>
          <w:sz w:val="28"/>
          <w:szCs w:val="28"/>
          <w:lang w:val="en-US"/>
        </w:rPr>
        <w:t xml:space="preserve">nội dung cơ bản, </w:t>
      </w:r>
      <w:r w:rsidRPr="00C02782">
        <w:rPr>
          <w:color w:val="000000" w:themeColor="text1"/>
          <w:sz w:val="28"/>
          <w:szCs w:val="28"/>
        </w:rPr>
        <w:t>hình thức lập, lưu trữ nhật ký nghiên cứu điện tử tại văn bản hướng dẫn tổ chức Cuộc thi hằng năm.</w:t>
      </w:r>
    </w:p>
    <w:p w14:paraId="77DB0689"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15. Nguyên tắc sử dụng công nghệ số, trí tuệ nhân tạo trong nghiên cứu</w:t>
      </w:r>
    </w:p>
    <w:p w14:paraId="2896B1B4" w14:textId="77777777" w:rsidR="00816167"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1. Học sinh được sử dụng công cụ số, trí tuệ nhân tạo để hỗ trợ tra cứu thông tin, xử lý dữ liệu, mô phỏng trong quá trình thực hiện dự án.</w:t>
      </w:r>
    </w:p>
    <w:p w14:paraId="382C0AA7" w14:textId="77777777" w:rsidR="00CD456C" w:rsidRPr="00C02782" w:rsidRDefault="006D16DD" w:rsidP="0089240E">
      <w:pPr>
        <w:snapToGrid w:val="0"/>
        <w:spacing w:before="120" w:after="120"/>
        <w:ind w:firstLine="709"/>
        <w:jc w:val="both"/>
        <w:rPr>
          <w:color w:val="000000" w:themeColor="text1"/>
          <w:sz w:val="28"/>
          <w:szCs w:val="28"/>
          <w:lang w:val="en-US"/>
        </w:rPr>
      </w:pPr>
      <w:r w:rsidRPr="00C02782">
        <w:rPr>
          <w:b/>
          <w:bCs/>
          <w:color w:val="000000" w:themeColor="text1"/>
          <w:sz w:val="28"/>
          <w:szCs w:val="28"/>
          <w:lang w:val="en-US"/>
        </w:rPr>
        <w:t>2.</w:t>
      </w:r>
      <w:r w:rsidRPr="00C02782">
        <w:rPr>
          <w:color w:val="000000" w:themeColor="text1"/>
          <w:sz w:val="28"/>
          <w:szCs w:val="28"/>
          <w:lang w:val="en-US"/>
        </w:rPr>
        <w:t xml:space="preserve"> Học sinh có trách nhiệm kê khai trung thực trong hồ sơ dự thi về việc sử dụng công nghệ số, trí tuệ nhân tạo, bao gồm mục đích, phạm vi và mức độ sử dụng (nếu có), đồng thời chịu trách nhiệm về tính trung thực, tính nguyên gốc và kết quả nghiên cứu của dự án.</w:t>
      </w:r>
    </w:p>
    <w:p w14:paraId="0CA16E5B" w14:textId="77777777" w:rsidR="00CD456C" w:rsidRPr="00C02782" w:rsidRDefault="00CD456C" w:rsidP="0089240E">
      <w:pPr>
        <w:snapToGrid w:val="0"/>
        <w:spacing w:before="120" w:after="120"/>
        <w:ind w:firstLine="709"/>
        <w:jc w:val="both"/>
        <w:rPr>
          <w:color w:val="000000" w:themeColor="text1"/>
          <w:sz w:val="28"/>
          <w:szCs w:val="28"/>
          <w:lang w:val="en-US"/>
        </w:rPr>
      </w:pPr>
      <w:r w:rsidRPr="00C02782">
        <w:rPr>
          <w:color w:val="000000" w:themeColor="text1"/>
          <w:sz w:val="28"/>
          <w:szCs w:val="28"/>
          <w:lang w:val="en-US"/>
        </w:rPr>
        <w:t xml:space="preserve">3. </w:t>
      </w:r>
      <w:r w:rsidRPr="00C02782">
        <w:rPr>
          <w:color w:val="000000" w:themeColor="text1"/>
          <w:sz w:val="28"/>
          <w:szCs w:val="28"/>
        </w:rPr>
        <w:t xml:space="preserve">Nghiêm cấm </w:t>
      </w:r>
      <w:r w:rsidRPr="00C02782">
        <w:rPr>
          <w:color w:val="000000" w:themeColor="text1"/>
          <w:sz w:val="28"/>
          <w:szCs w:val="28"/>
          <w:lang w:val="en-US"/>
        </w:rPr>
        <w:t>các hành vi sau:</w:t>
      </w:r>
    </w:p>
    <w:p w14:paraId="281349B0" w14:textId="77777777" w:rsidR="00CD456C" w:rsidRPr="00C02782" w:rsidRDefault="00CD456C" w:rsidP="0089240E">
      <w:pPr>
        <w:pStyle w:val="pdq2pgselectionanchorcontainer"/>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a) Sử dụng công nghệ số hoặc trí tuệ nhân tạo để giả mạo quá trình nghiên cứu, tạo lập hoặc làm sai lệch dữ liệu, kết quả nghiên cứu;</w:t>
      </w:r>
    </w:p>
    <w:p w14:paraId="06FEBA5C" w14:textId="77777777" w:rsidR="00CD456C" w:rsidRPr="00C02782" w:rsidRDefault="00CD456C" w:rsidP="0089240E">
      <w:pPr>
        <w:pStyle w:val="NormalWeb"/>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b) Sử dụng công nghệ số hoặc trí tuệ nhân tạo để sao chép, chiếm đoạt hoặc trình bày kết quả nghiên cứu của tổ chức, cá nhân khác như là kết quả nghiên cứu của mình;</w:t>
      </w:r>
    </w:p>
    <w:p w14:paraId="75401198" w14:textId="77777777" w:rsidR="00CD456C" w:rsidRPr="00C02782" w:rsidRDefault="00CD456C" w:rsidP="0089240E">
      <w:pPr>
        <w:pStyle w:val="NormalWeb"/>
        <w:snapToGrid w:val="0"/>
        <w:spacing w:before="120" w:beforeAutospacing="0" w:after="120" w:afterAutospacing="0"/>
        <w:ind w:firstLine="709"/>
        <w:jc w:val="both"/>
        <w:rPr>
          <w:color w:val="000000" w:themeColor="text1"/>
          <w:sz w:val="28"/>
          <w:szCs w:val="28"/>
        </w:rPr>
      </w:pPr>
      <w:r w:rsidRPr="00C02782">
        <w:rPr>
          <w:color w:val="000000" w:themeColor="text1"/>
          <w:sz w:val="28"/>
          <w:szCs w:val="28"/>
        </w:rPr>
        <w:t>c) Che giấu hoặc kê khai không trung thực về việc sử dụng công nghệ số, trí tuệ nhân tạo trong hồ sơ dự thi.</w:t>
      </w:r>
    </w:p>
    <w:p w14:paraId="35EFDA9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lang w:val="en-US"/>
        </w:rPr>
        <w:t>4</w:t>
      </w:r>
      <w:r w:rsidRPr="00C02782">
        <w:rPr>
          <w:color w:val="000000" w:themeColor="text1"/>
          <w:sz w:val="28"/>
          <w:szCs w:val="28"/>
        </w:rPr>
        <w:t>. Người hướng dẫn nghiên cứu có trách nhiệm hướng dẫn học sinh sử dụng công cụ số, trí tuệ nhân tạo đúng mục đích, đúng mực; xác nhận về phạm vi sử dụng công cụ hỗ trợ trong hồ sơ dự thi.</w:t>
      </w:r>
    </w:p>
    <w:p w14:paraId="4DA0F1AC" w14:textId="77777777" w:rsidR="00816167" w:rsidRPr="00C02782" w:rsidRDefault="006D16DD" w:rsidP="0089240E">
      <w:pPr>
        <w:snapToGrid w:val="0"/>
        <w:spacing w:before="120" w:after="120"/>
        <w:ind w:firstLine="709"/>
        <w:jc w:val="both"/>
        <w:rPr>
          <w:color w:val="000000" w:themeColor="text1"/>
          <w:spacing w:val="-10"/>
          <w:sz w:val="28"/>
          <w:szCs w:val="28"/>
        </w:rPr>
      </w:pPr>
      <w:r w:rsidRPr="00C02782">
        <w:rPr>
          <w:b/>
          <w:bCs/>
          <w:color w:val="000000" w:themeColor="text1"/>
          <w:spacing w:val="-10"/>
          <w:sz w:val="28"/>
          <w:szCs w:val="28"/>
        </w:rPr>
        <w:t>Điều 16. Yêu cầu đối với người hướng dẫn nghiên cứu về liêm chính khoa học</w:t>
      </w:r>
    </w:p>
    <w:p w14:paraId="32643D2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Người hướng dẫn nghiên cứu chịu trách nhiệm về liêm chính khoa học và đạo đức nghề nghiệp trong nghiên cứu khoa học; bảo đảm yêu cầu đối với dự án dự thi theo các quy định tại Quy chế này.</w:t>
      </w:r>
    </w:p>
    <w:p w14:paraId="4A8A1F8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2. Người hướng dẫn nghiên cứu có trách nhiệm hướng dẫn, giám sát để bảo đảm sự tham gia thực chất, độc lập của học sinh trong toàn bộ quá trình thực hiện dự án; không được trực tiếp thực hiện thay cho học sinh các nội dung nghiên cứu cốt lõi của dự án.</w:t>
      </w:r>
    </w:p>
    <w:p w14:paraId="2FE8B0F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Người hướng dẫn nghiên cứu chịu trách nhiệm liên đới khi để xảy ra vi phạm liêm chính khoa học của dự án do mình hướng dẫn, theo quy định tại Điều 39 Quy chế này và quy định của pháp luật có liên quan.</w:t>
      </w:r>
    </w:p>
    <w:p w14:paraId="0CDA1102" w14:textId="77777777" w:rsidR="00B14738" w:rsidRPr="00C02782" w:rsidRDefault="00B14738" w:rsidP="0089240E">
      <w:pPr>
        <w:snapToGrid w:val="0"/>
        <w:spacing w:before="120" w:after="120"/>
        <w:ind w:firstLine="709"/>
        <w:jc w:val="both"/>
        <w:rPr>
          <w:b/>
          <w:bCs/>
          <w:color w:val="000000" w:themeColor="text1"/>
          <w:sz w:val="28"/>
          <w:szCs w:val="28"/>
        </w:rPr>
      </w:pPr>
    </w:p>
    <w:p w14:paraId="24CB3752"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IV</w:t>
      </w:r>
    </w:p>
    <w:p w14:paraId="2316041B"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PHÊ DUYỆT VÀ LỰA CHỌN DỰ ÁN DỰ THI</w:t>
      </w:r>
    </w:p>
    <w:p w14:paraId="1EA845F2"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17. Quy trình đăng ký, phê duyệt và lựa chọn dự án dự thi</w:t>
      </w:r>
    </w:p>
    <w:p w14:paraId="389008FD"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1. Đối với cơ sở giáo dục: </w:t>
      </w:r>
    </w:p>
    <w:p w14:paraId="08B5B4F8"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Cơ sở giáo dục thông báo công khai mục tiêu, nội dung, yêu cầu, tiêu chí đánh giá dự án dự thi và hình thức tổ chức Cuộc thi để giáo viên, nhân viên phát hiện, hướng dẫn học sinh lựa chọn đề tài, xây dựng kế hoạch nghiên cứu; </w:t>
      </w:r>
    </w:p>
    <w:p w14:paraId="3DEC4684" w14:textId="77777777" w:rsidR="00B14738"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 xml:space="preserve">b) Giáo viên, nhân viên đã hướng dẫn học sinh xây dựng kế hoạch nghiên cứu báo cáo với tổ chuyên môn để tổ chuyên môn báo cáo, đề nghị hiệu trưởng hoặc giám đốc (sau đây gọi chung là người đứng đầu) cơ sở giáo dục xem xét, phê duyệt; </w:t>
      </w:r>
    </w:p>
    <w:p w14:paraId="2C5A072D"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Người đứng đầu cơ sở giáo dục phê duyệt kế hoạch nghiên cứu và người hướng dẫn nghiên cứu theo đề nghị của tổ chuyên môn; chỉ đạo tổ chuyên môn theo dõi, hỗ trợ quá trình nghiên cứu và việc lập, ghi chép nhật ký nghiên cứu của học sinh theo kế hoạch nghiên cứu đã được phê duyệt; </w:t>
      </w:r>
    </w:p>
    <w:p w14:paraId="14D21F4B" w14:textId="77777777" w:rsidR="00816167" w:rsidRPr="00C02782" w:rsidRDefault="006D16DD" w:rsidP="0089240E">
      <w:pPr>
        <w:snapToGrid w:val="0"/>
        <w:spacing w:before="120" w:after="120"/>
        <w:ind w:firstLine="709"/>
        <w:jc w:val="both"/>
        <w:rPr>
          <w:color w:val="000000" w:themeColor="text1"/>
          <w:spacing w:val="-10"/>
          <w:sz w:val="28"/>
          <w:szCs w:val="28"/>
        </w:rPr>
      </w:pPr>
      <w:r w:rsidRPr="00C02782">
        <w:rPr>
          <w:color w:val="000000" w:themeColor="text1"/>
          <w:spacing w:val="-10"/>
          <w:sz w:val="28"/>
          <w:szCs w:val="28"/>
        </w:rPr>
        <w:t>d) Cơ sở giáo dục tổ chức đánh giá dự án của học sinh; lựa chọn dự án thuộc cơ sở giáo dục gửi đơn vị dự thi để được đánh giá, lựa chọn theo hướng dẫn của đơn vị dự thi.</w:t>
      </w:r>
    </w:p>
    <w:p w14:paraId="5C0740D5"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Đối với đơn vị dự thi: </w:t>
      </w:r>
    </w:p>
    <w:p w14:paraId="1D4F1B40"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Tổ chức cuộc thi ở cấp đơn vị dự thi, lựa chọn dự án dự thi theo tiêu chí đánh giá của Phụ lục 2 Quy chế này và cử dự án tham gia Cuộc thi theo số lượng được quy định tại Điều 5 Quy chế này; </w:t>
      </w:r>
    </w:p>
    <w:p w14:paraId="7ED520FE"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Gửi hồ sơ dự thi theo quy định tại Điều 18 Quy chế này về Bộ Giáo dục và Đào tạo trước ngày khai mạc Cuộc thi ít nhất 30 ngày; </w:t>
      </w:r>
    </w:p>
    <w:p w14:paraId="515F99B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 Công bố công khai danh sách dự án dự thi được chọn cử theo quy định tại Điều 12 Quy chế này.</w:t>
      </w:r>
    </w:p>
    <w:p w14:paraId="5B983161"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18. Hồ sơ dự thi</w:t>
      </w:r>
    </w:p>
    <w:p w14:paraId="78AB4FC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Hồ sơ dự thi bao gồm:</w:t>
      </w:r>
    </w:p>
    <w:p w14:paraId="5F202A3B"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1. Quyết định của người đứng đầu đơn vị dự thi cử các dự án tham dự Cuộc thi.</w:t>
      </w:r>
    </w:p>
    <w:p w14:paraId="70010866"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Giấy xác nhận kết quả học tập, rèn luyện của học sinh có chữ ký của người đứng đầu cơ sở giáo dục.</w:t>
      </w:r>
    </w:p>
    <w:p w14:paraId="72AC31A1"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3. Hồ sơ dự án dự thi, gồm: </w:t>
      </w:r>
    </w:p>
    <w:p w14:paraId="52F8E200"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 xml:space="preserve">a) Thuyết minh về việc đăng ký, phê duyệt và lựa chọn dự án dự thi tại cơ sở giáo dục và đơn vị dự thi theo quy định tại Điều 17 Quy chế này; </w:t>
      </w:r>
    </w:p>
    <w:p w14:paraId="31030539"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Kế hoạch nghiên cứu đã được người đứng đầu cơ sở giáo dục phê duyệt; </w:t>
      </w:r>
    </w:p>
    <w:p w14:paraId="5BEC32C6"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Báo cáo kết quả thực hiện dự án dự thi theo quy định tại điểm b khoản 1 Điều 3 Quy chế này; </w:t>
      </w:r>
    </w:p>
    <w:p w14:paraId="0F64B252" w14:textId="77777777" w:rsidR="00B14738"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d) Cam kết tuân thủ các quy định tại Điều 4 Quy chế này; </w:t>
      </w:r>
    </w:p>
    <w:p w14:paraId="2519A5D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đ) Nhật ký nghiên cứu và minh chứng dữ liệu gốc theo quy định tại Điều 14 Quy chế này.</w:t>
      </w:r>
    </w:p>
    <w:p w14:paraId="63FC0FD5" w14:textId="77777777" w:rsidR="00A33FFB" w:rsidRPr="00C02782" w:rsidRDefault="00FB5CC0" w:rsidP="0089240E">
      <w:pPr>
        <w:snapToGrid w:val="0"/>
        <w:spacing w:before="120" w:after="120"/>
        <w:ind w:firstLine="709"/>
        <w:jc w:val="both"/>
        <w:rPr>
          <w:color w:val="000000" w:themeColor="text1"/>
          <w:sz w:val="28"/>
          <w:szCs w:val="28"/>
        </w:rPr>
      </w:pPr>
      <w:r w:rsidRPr="00C02782">
        <w:rPr>
          <w:color w:val="000000" w:themeColor="text1"/>
          <w:sz w:val="28"/>
          <w:szCs w:val="28"/>
        </w:rPr>
        <w:t>4. Hồ sơ dự thi được nộp bằng hình thức điện tử hoặc kết hợp điện tử với bản giấy theo hướng dẫn hằng năm của Bộ Giáo dục và Đào tạo.</w:t>
      </w:r>
    </w:p>
    <w:p w14:paraId="57F83957" w14:textId="77777777" w:rsidR="00B14738" w:rsidRPr="00C02782" w:rsidRDefault="00B14738" w:rsidP="0089240E">
      <w:pPr>
        <w:snapToGrid w:val="0"/>
        <w:spacing w:before="120" w:after="120"/>
        <w:jc w:val="center"/>
        <w:rPr>
          <w:b/>
          <w:bCs/>
          <w:color w:val="000000" w:themeColor="text1"/>
          <w:sz w:val="28"/>
          <w:szCs w:val="28"/>
        </w:rPr>
      </w:pPr>
    </w:p>
    <w:p w14:paraId="68BCAC13"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V</w:t>
      </w:r>
    </w:p>
    <w:p w14:paraId="29223D34"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THẨM ĐỊNH HỒ SƠ DỰ THI, CHẤM THI VÀ XẾP GIẢI</w:t>
      </w:r>
    </w:p>
    <w:p w14:paraId="2192C7BD"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19. Thẩm định hồ sơ dự thi</w:t>
      </w:r>
    </w:p>
    <w:p w14:paraId="17055AF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Hội đồng thẩm định hồ sơ dự thi có nhiệm vụ thẩm định hồ sơ dự thi theo quy định tại Điều 3, Điều 4, Điều 5, Điều 17 và Điều 18 Quy chế này và các văn bản hướng dẫn tổ chức Cuộc thi hằng năm của Bộ Giáo dục và Đào tạo.</w:t>
      </w:r>
    </w:p>
    <w:p w14:paraId="437F0C72" w14:textId="77777777" w:rsidR="00816167" w:rsidRPr="00C02782" w:rsidRDefault="006D16DD" w:rsidP="0089240E">
      <w:pPr>
        <w:snapToGrid w:val="0"/>
        <w:spacing w:before="120" w:after="120"/>
        <w:ind w:firstLine="709"/>
        <w:jc w:val="both"/>
        <w:rPr>
          <w:color w:val="000000" w:themeColor="text1"/>
          <w:spacing w:val="-8"/>
          <w:sz w:val="28"/>
          <w:szCs w:val="28"/>
        </w:rPr>
      </w:pPr>
      <w:r w:rsidRPr="00C02782">
        <w:rPr>
          <w:color w:val="000000" w:themeColor="text1"/>
          <w:spacing w:val="-8"/>
          <w:sz w:val="28"/>
          <w:szCs w:val="28"/>
        </w:rPr>
        <w:t>2. Căn cứ kết quả thẩm định hồ sơ dự thi và số lượng dự án dự thi của từng lĩnh vực, Chủ tịch Hội đồng thẩm định hồ sơ dự thi lập danh sách dự án đủ điều kiện dự thi và đề xuất cơ cấu lĩnh vực, nhóm lĩnh vực dự thi trình Trưởng Ban Chỉ đạo phê duyệt.</w:t>
      </w:r>
    </w:p>
    <w:p w14:paraId="7C0D4807"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20. Quy trình chấm thi</w:t>
      </w:r>
    </w:p>
    <w:p w14:paraId="249133D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Bốc thăm phân công giám khảo chấm thi.</w:t>
      </w:r>
    </w:p>
    <w:p w14:paraId="717ED6A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Giám khảo chấm thi các dự án được phân công thực hiện chấm thi theo hướng dẫn chấm thi đã được phê duyệt.</w:t>
      </w:r>
    </w:p>
    <w:p w14:paraId="29FEE306" w14:textId="77777777" w:rsidR="00816167"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3. Mỗi dự án dự thi được từng giám khảo đánh giá độc lập trên cơ sở: báo cáo</w:t>
      </w:r>
      <w:r w:rsidRPr="00C02782">
        <w:rPr>
          <w:color w:val="000000" w:themeColor="text1"/>
          <w:spacing w:val="-4"/>
          <w:sz w:val="28"/>
          <w:szCs w:val="28"/>
          <w:lang w:val="en-US"/>
        </w:rPr>
        <w:t xml:space="preserve"> </w:t>
      </w:r>
      <w:r w:rsidRPr="00C02782">
        <w:rPr>
          <w:color w:val="000000" w:themeColor="text1"/>
          <w:spacing w:val="-4"/>
          <w:sz w:val="28"/>
          <w:szCs w:val="28"/>
        </w:rPr>
        <w:t>tóm tắt, bản báo cáo poster đã được công khai theo quy định tại khoản 1 Điều 12 Quy chế này; kế hoạch nghiên cứu, nhật ký nghiên cứu điện tử và hồ sơ dự thi được cung cấp theo quy định tại Điều 18 Quy chế này; và nội dung trình bày, báo cáo trực tiếp của tác giả dự án, trả lời phỏng vấn giám khảo tại khu vực trưng bày poster; cho điểm theo thang điểm, tiêu chí đánh giá quy định tại Điều 21 Quy chế này.</w:t>
      </w:r>
    </w:p>
    <w:p w14:paraId="325822F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4. Điểm đánh giá dự án dự thi là trung bình cộng điểm của các giám khảo chấm thi được làm tròn đến 01 (một) chữ số thập phân. Trường hợp điểm của thành viên giám khảo lệch 20% so với điểm trung bình cộng của các giám khảo chấm thi thì loại bỏ điểm đó và tính lại điểm trung bình của các giám khảo còn lại. Trường hợp có trên 50% số giám khảo có điểm đánh giá lệch 20% so với điểm trung bình cộng điểm của các giám khảo chấm thi thì Trưởng Tiểu ban giám khảo tổ chức họp với các giám khảo cùng chấm dự án đó để thảo luận, thống nhất điểm đánh giá; kết quả đánh giá được ghi thành biên bản có chữ ký của Trưởng Tiểu ban giám khảo và các giám khảo chấm thi. Mức lệch 20% nêu trên được tính theo </w:t>
      </w:r>
      <w:r w:rsidRPr="00C02782">
        <w:rPr>
          <w:color w:val="000000" w:themeColor="text1"/>
          <w:sz w:val="28"/>
          <w:szCs w:val="28"/>
        </w:rPr>
        <w:lastRenderedPageBreak/>
        <w:t>giá trị tuyệt đối so với điểm trung bình cộng trên thang điểm 100; quy trình tính lại điểm trung bình sau khi loại điểm và cách xử lý trường hợp số giám khảo chẵn được quy định cụ thể tại quy trình, hướng dẫn chấm thi do Trưởng Ban chỉ đạo Cuộc thi phê duyệt hằng năm.</w:t>
      </w:r>
    </w:p>
    <w:p w14:paraId="7A412F2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5. Mỗi lĩnh vực hoặc nhóm lĩnh vực lập 01 biên bản kết quả chấm thi của lĩnh vực hoặc nhóm lĩnh vực đó; biên bản có chữ ký của Trưởng Tiểu ban giám khảo và Thư ký được phân công.</w:t>
      </w:r>
    </w:p>
    <w:p w14:paraId="31BA961A" w14:textId="77777777" w:rsidR="00816167"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6. Trưởng Ban giám khảo căn cứ kết quả chấm thi của các lĩnh vực hoặc nhóm lĩnh vực đề xuất xếp giải của Cuộc thi theo quy định tại Điều 22 Quy chế này gửi đơn vị thường trực Ban chỉ đạo Cuộc thi trình Trưởng Ban chỉ đạo phê duyệt.</w:t>
      </w:r>
    </w:p>
    <w:p w14:paraId="5E1D406E"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21. Tiêu chí đánh giá dự án dự thi và thang điểm</w:t>
      </w:r>
    </w:p>
    <w:p w14:paraId="233DA5C3"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Dự án dự thi được chấm theo thang điểm 100, điểm đánh giá dự án dự thi của từng giám khảo là số nguyên (theo nguyên tắc làm tròn số).</w:t>
      </w:r>
    </w:p>
    <w:p w14:paraId="0F0CEF9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Cơ cấu điểm được xây dựng theo hướng kết hợp đánh giá nội dung khoa học, tính mới, phương pháp nghiên cứu với đánh giá quá trình thực hiện dự án thông qua hồ sơ, nhật ký nghiên cứu, dữ liệu gốc quy định tại Điều 14 Quy chế này và phần phỏng vấn trực tiếp tác giả.</w:t>
      </w:r>
    </w:p>
    <w:p w14:paraId="7E509E8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Tiêu chí đánh giá dự án dự thi và thang điểm chi tiết được quy định tại Phụ lục 2 kèm theo Quy chế này.</w:t>
      </w:r>
    </w:p>
    <w:p w14:paraId="75DF0BCA"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22. Xếp giải của Cuộc thi</w:t>
      </w:r>
    </w:p>
    <w:p w14:paraId="08D447BC" w14:textId="77777777" w:rsidR="00816167"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1. Các giải của Cuộc thi được xếp theo lĩnh vực hoặc nhóm lĩnh vực dự thi, dựa trên điểm đánh giá các dự án dự thi, không phân biệt cấp học, không phân biệt dự án cá nhân hay dự án tập thể, gồm có giải Nhất, giải Nhì, giải Ba và giải Tư.</w:t>
      </w:r>
    </w:p>
    <w:p w14:paraId="52D0BAC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Tổng số giải của Cuộc thi không vượt quá 60% tổng số dự án dự thi. Trong đó, số giải Nhất không vượt quá 10% tổng số giải; số giải Nhì không vượt quá 20% tổng số giải; số giải Ba không vượt quá 30% tổng số giải; giải Tư là số % còn lại của tổng số giải. Dự án dự thi chỉ được xếp giải khi đạt điểm đánh giá từ 50/100 (năm mươi trên một trăm) điểm trở lên.</w:t>
      </w:r>
    </w:p>
    <w:p w14:paraId="2C9B63ED"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23. Xử lý hiện tượng bất thường khi chấm thi</w:t>
      </w:r>
    </w:p>
    <w:p w14:paraId="605554E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Nếu giám khảo phát hiện có hiện tượng bất thường về dự án dự thi hoặc về việc chấm thi thì phải báo cáo ngay với Trưởng Ban giám khảo.</w:t>
      </w:r>
    </w:p>
    <w:p w14:paraId="44A84CD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Trưởng Ban giám khảo tổ chức họp với các thành viên Tiểu ban giám khảo hoặc toàn thể Ban giám khảo để xem xét, xác nhận, đề xuất phương án xử lý và lập biên bản báo cáo Trưởng Ban chỉ đạo Cuộc thi quyết định.</w:t>
      </w:r>
    </w:p>
    <w:p w14:paraId="07996D51" w14:textId="77777777" w:rsidR="00B5447D" w:rsidRPr="00C02782" w:rsidRDefault="00B5447D" w:rsidP="0089240E">
      <w:pPr>
        <w:snapToGrid w:val="0"/>
        <w:spacing w:before="120" w:after="120"/>
        <w:jc w:val="center"/>
        <w:rPr>
          <w:b/>
          <w:bCs/>
          <w:color w:val="000000" w:themeColor="text1"/>
          <w:sz w:val="28"/>
          <w:szCs w:val="28"/>
        </w:rPr>
      </w:pPr>
    </w:p>
    <w:p w14:paraId="2403644A"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VI</w:t>
      </w:r>
    </w:p>
    <w:p w14:paraId="312B36A3"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LỰA CHỌN, BỒI DƯỠNG DỰ ÁN DỰ THI QUỐC TẾ</w:t>
      </w:r>
    </w:p>
    <w:p w14:paraId="61DBD731"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24. Nguyên tắc, phạm vi lựa chọn dự án dự thi quốc tế</w:t>
      </w:r>
    </w:p>
    <w:p w14:paraId="49DB53A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1. Chỉ dự án dự thi của học sinh trung học phổ thông đạt giải Nhất và 50% (năm mươi phần trăm) số dự án đạt giải Nhì của Cuộc thi (tính theo từng lĩnh vực hoặc nhóm lĩnh vực dự thi, lấy theo thứ tự điểm đánh giá từ cao xuống thấp) được đưa vào danh sách xem xét, đánh giá để lựa chọn tham gia thi chọn dự án dự thi quốc tế; dự án dự thi của học sinh trung học cơ sở không thuộc phạm vi xem xét, lựa chọn dự án dự thi quốc tế.</w:t>
      </w:r>
    </w:p>
    <w:p w14:paraId="7E263517" w14:textId="77777777" w:rsidR="00816167" w:rsidRPr="00C02782" w:rsidRDefault="00157BA8" w:rsidP="0089240E">
      <w:pPr>
        <w:snapToGrid w:val="0"/>
        <w:spacing w:before="120" w:after="120"/>
        <w:ind w:firstLine="709"/>
        <w:jc w:val="both"/>
        <w:rPr>
          <w:color w:val="000000" w:themeColor="text1"/>
          <w:sz w:val="28"/>
          <w:szCs w:val="28"/>
        </w:rPr>
      </w:pPr>
      <w:r w:rsidRPr="00C02782">
        <w:rPr>
          <w:color w:val="000000" w:themeColor="text1"/>
          <w:sz w:val="28"/>
          <w:szCs w:val="28"/>
        </w:rPr>
        <w:t>2. Việc lựa chọn quy định tại khoản 1 Điều này được thực hiện theo quy trình đánh giá, lựa chọn nhiều giai đoạn, gắn với hoạt động bồi dưỡng quy định tại Điều 25 Quy chế này.</w:t>
      </w:r>
    </w:p>
    <w:p w14:paraId="1ACFAF5D"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25. Quy trình chấm chọn và bồi dưỡng dự án dự thi quốc tế</w:t>
      </w:r>
    </w:p>
    <w:p w14:paraId="2C874DF1"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Căn cứ danh sách dự án được xem xét theo Điều 24 Quy chế này, Trưởng Ban giám khảo lựa chọn Tổ giám khảo chấm chọn dự án dự thi quốc tế từ Ban giám khảo của Cuộc thi do Trưởng Ban giám khảo làm Tổ trưởng (sau đây gọi tắt là Tổ giám khảo) trình Trưởng Ban chỉ đạo Cuộc thi phê duyệt.</w:t>
      </w:r>
    </w:p>
    <w:p w14:paraId="5DC5D12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Học sinh dự thi chọn dự án dự thi quốc tế trình bày kết quả thực hiện dự án dự thi và trả lời phỏng vấn của Tổ giám khảo bằng tiếng Anh. Mỗi dự án dự thi được từng giám khảo đánh giá, cho điểm độc lập theo thang điểm, tiêu chí đánh giá quy định tại Điều 21 Quy chế này.</w:t>
      </w:r>
    </w:p>
    <w:p w14:paraId="08F553E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Việc chấm điểm, xử lý chênh lệch điểm giữa các giám khảo và lập biên bản kết quả chấm chọn dự án dự thi quốc tế thực hiện theo quy trình chấm thi chọn dự án dự thi quốc tế do Trưởng Ban chỉ đạo Cuộc thi quyết định hằng năm, bảo đảm nguyên tắc khách quan, công bằng, chính xác.</w:t>
      </w:r>
    </w:p>
    <w:p w14:paraId="46A1A2F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4. Kết quả đánh giá các dự án dự thi chọn dự án dự thi quốc tế được lập thành biên bản, thông qua Tổ giám khảo và có chữ ký của Tổ trưởng Tổ giám khảo và Thư ký được phân công.</w:t>
      </w:r>
    </w:p>
    <w:p w14:paraId="41F66900" w14:textId="77777777" w:rsidR="00816167" w:rsidRPr="00C02782" w:rsidRDefault="006D16DD" w:rsidP="0089240E">
      <w:pPr>
        <w:snapToGrid w:val="0"/>
        <w:spacing w:before="120" w:after="120"/>
        <w:ind w:firstLine="709"/>
        <w:jc w:val="both"/>
        <w:rPr>
          <w:color w:val="000000" w:themeColor="text1"/>
          <w:spacing w:val="-2"/>
          <w:sz w:val="28"/>
          <w:szCs w:val="28"/>
        </w:rPr>
      </w:pPr>
      <w:r w:rsidRPr="00C02782">
        <w:rPr>
          <w:color w:val="000000" w:themeColor="text1"/>
          <w:spacing w:val="-2"/>
          <w:sz w:val="28"/>
          <w:szCs w:val="28"/>
        </w:rPr>
        <w:t>5. Tổ trưởng Tổ giám khảo căn cứ kết quả chấm thi chọn dự án dự thi quốc tế đề xuất danh sách dự án dự thi được lựa chọn cử đi dự thi quốc tế gửi đơn vị thường trực Ban Chỉ đạo Cuộc thi để trình Trưởng ban Chỉ đạo Cuộc thi phê duyệt.</w:t>
      </w:r>
    </w:p>
    <w:p w14:paraId="2526FB7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6. Đơn vị thường trực Ban chỉ đạo Cuộc thi tổ chức bồi dưỡng, hoàn thiện dự án và kỹ năng trình bày, phản biện bằng ngoại ngữ cho các dự án được lựa chọn theo quy trình nhiều giai đoạn, huy động sự tham gia của các nhà khoa học, cơ sở giáo dục đại học, viện nghiên cứu và chuyên gia trong nước, quốc tế.</w:t>
      </w:r>
    </w:p>
    <w:p w14:paraId="6389F598" w14:textId="77777777" w:rsidR="0089240E" w:rsidRPr="00C02782" w:rsidRDefault="0089240E">
      <w:pPr>
        <w:rPr>
          <w:b/>
          <w:bCs/>
          <w:color w:val="000000" w:themeColor="text1"/>
          <w:sz w:val="28"/>
          <w:szCs w:val="28"/>
        </w:rPr>
      </w:pPr>
    </w:p>
    <w:p w14:paraId="3E9FC19A"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VII</w:t>
      </w:r>
    </w:p>
    <w:p w14:paraId="11D314AE" w14:textId="77777777" w:rsidR="00816167" w:rsidRPr="00C02782" w:rsidRDefault="006D16DD" w:rsidP="0089240E">
      <w:pPr>
        <w:snapToGrid w:val="0"/>
        <w:spacing w:before="120" w:after="120"/>
        <w:jc w:val="center"/>
        <w:rPr>
          <w:color w:val="000000" w:themeColor="text1"/>
          <w:spacing w:val="-4"/>
          <w:sz w:val="28"/>
          <w:szCs w:val="28"/>
        </w:rPr>
      </w:pPr>
      <w:r w:rsidRPr="00C02782">
        <w:rPr>
          <w:b/>
          <w:bCs/>
          <w:color w:val="000000" w:themeColor="text1"/>
          <w:spacing w:val="-4"/>
          <w:sz w:val="28"/>
          <w:szCs w:val="28"/>
        </w:rPr>
        <w:t>ỨNG DỤNG CÔNG NGHỆ SỐ TRONG QUẢN LÝ, TỔ CHỨC CUỘC THI</w:t>
      </w:r>
    </w:p>
    <w:p w14:paraId="69CD019E"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26. Hệ thống quản lý thống nhất Cuộc thi</w:t>
      </w:r>
    </w:p>
    <w:p w14:paraId="78C40341"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Bộ Giáo dục và Đào tạo xây dựng, vận hành hệ thống quản lý thống nhất Cuộc thi phục vụ đăng ký dự án, quản lý hồ sơ dự thi, lưu trữ nhật ký nghiên cứu, tổ chức chấm thi, công khai thông tin và hỗ trợ công tác kiểm tra, hậu kiểm.</w:t>
      </w:r>
    </w:p>
    <w:p w14:paraId="12BDD44B"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lastRenderedPageBreak/>
        <w:t>2. Đơn vị dự thi, cơ sở giáo dục có trách nhiệm cập nhật thông tin, hồ sơ dự án dự thi trên hệ thống quản lý thống nhất theo hướng dẫn của Bộ Giáo dục và Đào tạo.</w:t>
      </w:r>
    </w:p>
    <w:p w14:paraId="17860881"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27. Yêu cầu về an toàn thông tin, bảo vệ dữ liệu cá nhân</w:t>
      </w:r>
    </w:p>
    <w:p w14:paraId="0C010CBE"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1. Đơn vị quản lý, vận hành hệ thống quy định tại Điều 26 Quy chế này có trách nhiệm bảo đảm an toàn thông tin, phòng ngừa truy cập trái phép, mất mát dữ liệu.</w:t>
      </w:r>
    </w:p>
    <w:p w14:paraId="1F527A4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Việc thu thập, sử dụng, lưu trữ dữ liệu cá nhân của học sinh, người hướng dẫn trên hệ thống phải tuân thủ quy định của pháp luật về bảo vệ dữ liệu cá nhân; chỉ được sử dụng cho mục đích tổ chức Cuộc thi và mục đích khác theo quy định của pháp luật.</w:t>
      </w:r>
    </w:p>
    <w:p w14:paraId="3A2940BF"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28. Lưu trữ hồ sơ Cuộc thi</w:t>
      </w:r>
    </w:p>
    <w:p w14:paraId="5BA5A225"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Bộ Giáo dục và Đào tạo có trách nhiệm lưu trữ theo quy định đối với: danh sách dự án dự thi, học sinh dự thi và kết quả xếp giải của Cuộc thi; danh sách dự án dự thi, học sinh được cử đi dự thi quốc tế; sổ cấp giấy chứng nhận học sinh đoạt giải; biên bản xử lý các hiện tượng bất thường của Cuộc thi.</w:t>
      </w:r>
    </w:p>
    <w:p w14:paraId="7C4A5F9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Đơn vị dự thi có trách nhiệm lưu trữ theo quy định đối với hồ sơ dự thi và danh sách dự án, học sinh của đơn vị dự thi tham dự Cuộc thi.</w:t>
      </w:r>
    </w:p>
    <w:p w14:paraId="4C416717"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VIII</w:t>
      </w:r>
    </w:p>
    <w:p w14:paraId="041CAB5C"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TRÁCH NHIỆM CỦA CƠ QUAN, TỔ CHỨC, CÁ NHÂN</w:t>
      </w:r>
    </w:p>
    <w:p w14:paraId="5AE69F45"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29. Trách nhiệm của Bộ Giáo dục và Đào tạo</w:t>
      </w:r>
    </w:p>
    <w:p w14:paraId="5C78F26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Chỉ đạo tổ chức Cuộc thi.</w:t>
      </w:r>
    </w:p>
    <w:p w14:paraId="26F85F8B"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Chỉ đạo tổ chức kiểm tra việc thực hiện Quy chế này.</w:t>
      </w:r>
    </w:p>
    <w:p w14:paraId="2176103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Quyết định phương án xử lý các trường hợp đặc biệt do ảnh hưởng của thiên tai, dịch bệnh và các tình huống bất thường khác.</w:t>
      </w:r>
    </w:p>
    <w:p w14:paraId="4958FB13"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4. Phê duyệt kế hoạch tổ chức Cuộc thi; bố trí kinh phí tổ chức thẩm định hồ sơ dự thi và công tác chấm thi của Cuộc thi.</w:t>
      </w:r>
    </w:p>
    <w:p w14:paraId="75A4F3B9"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30. Trách nhiệm của Ủy ban nhân dân cấp tỉnh</w:t>
      </w:r>
    </w:p>
    <w:p w14:paraId="5426E8A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Phê duyệt phương án, kế hoạch và bố trí kinh phí tổ chức lựa chọn dự án dự thi của đơn vị dự thi thuộc phạm vi quản lý và tổ chức Cuộc thi (nếu là đơn vị đăng cai tổ chức Cuộc thi).</w:t>
      </w:r>
    </w:p>
    <w:p w14:paraId="73B856F6"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Chỉ đạo đơn vị dự thi thuộc phạm vi quản lý và các cơ quan có liên quan phối hợp với đơn vị dự thi để lựa chọn dự án dự thi và tổ chức Cuộc thi (nếu là đơn vị đăng cai tổ chức Cuộc thi) theo quy định tại Quy chế này.</w:t>
      </w:r>
    </w:p>
    <w:p w14:paraId="01ED04B8"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31. Trách nhiệm của đơn vị dự thi</w:t>
      </w:r>
    </w:p>
    <w:p w14:paraId="7CDAC94D"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Chỉ đạo các cơ sở giáo dục tổ chức hướng dẫn học sinh nghiên cứu khoa học theo quy định của Quy chế này.</w:t>
      </w:r>
    </w:p>
    <w:p w14:paraId="7069939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Căn cứ Quy chế này, ban hành hướng dẫn và tổ chức cuộc thi ở cấp đơn vị dự thi, lựa chọn dự án dự thi, đăng ký dự thi, bảo đảm liêm chính khoa học và </w:t>
      </w:r>
      <w:r w:rsidRPr="00C02782">
        <w:rPr>
          <w:color w:val="000000" w:themeColor="text1"/>
          <w:sz w:val="28"/>
          <w:szCs w:val="28"/>
        </w:rPr>
        <w:lastRenderedPageBreak/>
        <w:t>đạo đức nghề nghiệp trong nghiên cứu khoa học của các dự án dự thi theo quy định. Công bố công khai các dự án được chọn cử dự thi cấp quốc gia.</w:t>
      </w:r>
    </w:p>
    <w:p w14:paraId="1D50327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Xây dựng phương án, kế hoạch và kinh phí trình cơ quan có thẩm quyền phê duyệt để bảo đảm các điều kiện cần thiết cho học sinh tham gia Cuộc thi.</w:t>
      </w:r>
    </w:p>
    <w:p w14:paraId="28ACF000"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32. Trách nhiệm của đơn vị đăng cai tổ chức Cuộc thi</w:t>
      </w:r>
    </w:p>
    <w:p w14:paraId="0D7FF1A4"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Phối hợp với đơn vị thường trực Ban chỉ đạo Cuộc thi xây dựng phương án, kế hoạch và bố trí kinh phí tổ chức Cuộc thi theo quy định tại khoản 3 Điều 6 Quy chế này trình cấp có thẩm quyền phê duyệt.</w:t>
      </w:r>
    </w:p>
    <w:p w14:paraId="0065D88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Thành lập Ban tổ chức Cuộc thi và tổ chức các hoạt động của Cuộc thi.</w:t>
      </w:r>
    </w:p>
    <w:p w14:paraId="5E3166F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Chuẩn bị cơ sở vật chất, trang thiết bị và các điều kiện khác phục vụ cho công tác tổ chức Cuộc thi, bảo đảm an toàn, nghiêm túc, hiệu quả.</w:t>
      </w:r>
    </w:p>
    <w:p w14:paraId="2849334F" w14:textId="77777777" w:rsidR="00816167" w:rsidRPr="00C02782" w:rsidRDefault="00816167"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4. Đơn vị đăng cai tổ chức Cuộc thi là Sở Giáo dục và Đào tạo hoặc cơ sở giáo dục đại học được Bộ Giáo dục và Đào tạo lựa chọn, giao nhiệm vụ đăng cai tổ chức Cuộc thi trong từng năm theo văn bản hướng dẫn tổ chức Cuộc thi hằng năm.</w:t>
      </w:r>
    </w:p>
    <w:p w14:paraId="1B422A6E"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33. Trách nhiệm của cơ sở giáo dục</w:t>
      </w:r>
    </w:p>
    <w:p w14:paraId="54627170" w14:textId="77777777" w:rsidR="00816167"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1. Thực hiện quy định tại Điều 17 của Quy chế này và các văn bản hướng dẫn tổ chức Cuộc thi hằng năm của Bộ Giáo dục và Đào tạo, cơ sở giáo dục tổ chức cho học sinh đăng ký dự án nghiên cứu, phê duyệt kế hoạch nghiên cứu, cử người hướng dẫn nghiên cứu, đánh giá dự án của học sinh, lựa chọn dự án thuộc cơ sở giáo dục gửi đơn vị dự thi để được đánh giá, lựa chọn theo hướng dẫn của đơn vị dự thi.</w:t>
      </w:r>
    </w:p>
    <w:p w14:paraId="5FA6A75C"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Hướng dẫn học sinh lập, lưu trữ nhật ký nghiên cứu theo quy định tại Điều 14 Quy chế này.</w:t>
      </w:r>
    </w:p>
    <w:p w14:paraId="176F4DD0" w14:textId="77777777" w:rsidR="00816167" w:rsidRPr="00C02782" w:rsidRDefault="006D16DD" w:rsidP="0089240E">
      <w:pPr>
        <w:snapToGrid w:val="0"/>
        <w:spacing w:before="120" w:after="120"/>
        <w:ind w:firstLine="709"/>
        <w:jc w:val="both"/>
        <w:rPr>
          <w:color w:val="000000" w:themeColor="text1"/>
          <w:spacing w:val="-4"/>
          <w:sz w:val="28"/>
          <w:szCs w:val="28"/>
        </w:rPr>
      </w:pPr>
      <w:r w:rsidRPr="00C02782">
        <w:rPr>
          <w:color w:val="000000" w:themeColor="text1"/>
          <w:spacing w:val="-4"/>
          <w:sz w:val="28"/>
          <w:szCs w:val="28"/>
        </w:rPr>
        <w:t>3. Xây dựng kế hoạch tổ chức thực hiện và tham mưu cơ quan có thẩm quyền để bảo đảm các điều kiện cần thiết cho học sinh tham gia nghiên cứu khoa học.</w:t>
      </w:r>
    </w:p>
    <w:p w14:paraId="2408F2CA"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34. Trách nhiệm và quyền lợi của học sinh</w:t>
      </w:r>
    </w:p>
    <w:p w14:paraId="0656FB24"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1. Trách nhiệm của học sinh: </w:t>
      </w:r>
    </w:p>
    <w:p w14:paraId="51ED39B1"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a) Chịu trách nhiệm về dự án dự thi của mình theo quy định tại Quy chế này và các văn bản hướng dẫn tổ chức Cuộc thi của Bộ Giáo dục và Đào tạo; </w:t>
      </w:r>
    </w:p>
    <w:p w14:paraId="14CB1C30"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Đăng ký dự thi theo đơn vị dự thi; </w:t>
      </w:r>
    </w:p>
    <w:p w14:paraId="4F050B98"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c) Lập, lưu trữ nhật ký nghiên cứu, dữ liệu gốc theo quy định tại Điều 14 Quy chế này và cung cấp khi được yêu cầu xác minh; </w:t>
      </w:r>
    </w:p>
    <w:p w14:paraId="0F9A9BDD"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d) Tham gia Cuộc thi theo đúng hướng dẫn của Bộ Giáo dục và Đào tạo và Ban chỉ đạo Cuộc thi.</w:t>
      </w:r>
    </w:p>
    <w:p w14:paraId="395A385D"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Quyền lợi của học sinh: Học sinh đoạt giải của Cuộc thi được hưởng các quyền lợi trong học tập và các quyền lợi khác theo quy định.</w:t>
      </w:r>
    </w:p>
    <w:p w14:paraId="553121C6"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35. Trách nhiệm, quyền lợi của người hướng dẫn</w:t>
      </w:r>
    </w:p>
    <w:p w14:paraId="58E98889"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1. Trách nhiệm về liêm chính khoa học, đạo đức nghề nghiệp và giới hạn tham gia của người hướng dẫn nghiên cứu thực hiện theo quy định tại Điều 16 Quy chế này.</w:t>
      </w:r>
    </w:p>
    <w:p w14:paraId="1227E74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lastRenderedPageBreak/>
        <w:t>2. Người hướng dẫn nghiên cứu được tính giờ nghiên cứu khoa học, giờ dạy và các quyền lợi khác theo các quy định hiện hành.</w:t>
      </w:r>
    </w:p>
    <w:p w14:paraId="1FE08422" w14:textId="77777777" w:rsidR="00FA078A" w:rsidRPr="00C02782" w:rsidRDefault="00FA078A" w:rsidP="0089240E">
      <w:pPr>
        <w:snapToGrid w:val="0"/>
        <w:spacing w:before="120" w:after="120"/>
        <w:ind w:firstLine="709"/>
        <w:jc w:val="both"/>
        <w:rPr>
          <w:b/>
          <w:bCs/>
          <w:color w:val="000000" w:themeColor="text1"/>
          <w:sz w:val="28"/>
          <w:szCs w:val="28"/>
        </w:rPr>
      </w:pPr>
    </w:p>
    <w:p w14:paraId="0339D111"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Chương IX</w:t>
      </w:r>
    </w:p>
    <w:p w14:paraId="5C161BF1" w14:textId="77777777" w:rsidR="00816167" w:rsidRPr="00C02782" w:rsidRDefault="006D16DD" w:rsidP="0089240E">
      <w:pPr>
        <w:snapToGrid w:val="0"/>
        <w:spacing w:before="120" w:after="120"/>
        <w:jc w:val="center"/>
        <w:rPr>
          <w:color w:val="000000" w:themeColor="text1"/>
          <w:sz w:val="28"/>
          <w:szCs w:val="28"/>
        </w:rPr>
      </w:pPr>
      <w:r w:rsidRPr="00C02782">
        <w:rPr>
          <w:b/>
          <w:bCs/>
          <w:color w:val="000000" w:themeColor="text1"/>
          <w:sz w:val="28"/>
          <w:szCs w:val="28"/>
        </w:rPr>
        <w:t>KIỂM TRA, KHEN THƯỞNG VÀ XỬ LÝ VI PHẠM</w:t>
      </w:r>
    </w:p>
    <w:p w14:paraId="573AD12E"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36. Kiểm tra</w:t>
      </w:r>
    </w:p>
    <w:p w14:paraId="0677C062"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Trong trường hợp cần thiết, cơ quan quản lý có thẩm quyền quyết định thành lập đoàn kiểm tra công tác tổ chức Cuộc thi.</w:t>
      </w:r>
    </w:p>
    <w:p w14:paraId="3B1C2DF1"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37. Khen thưởng</w:t>
      </w:r>
    </w:p>
    <w:p w14:paraId="431B552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Những người tham gia tổ chức Cuộc thi và học sinh có nhiều đóng góp tích cực, có thành tích trong Cuộc thi được khen thưởng theo quy định hiện hành.</w:t>
      </w:r>
    </w:p>
    <w:p w14:paraId="0A9FD5BA"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Việc khen thưởng đối với dự án dự thi, học sinh bị phát hiện vi phạm liêm chính khoa học sau khi đã khen thưởng được xem xét thu hồi theo quy định tại Điều 41 Quy chế này.</w:t>
      </w:r>
    </w:p>
    <w:p w14:paraId="30D6F865"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38. Xử lý vi phạm đối với học sinh</w:t>
      </w:r>
    </w:p>
    <w:p w14:paraId="4203FA8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Học sinh có hành động gian lận trong quá trình nghiên cứu khoa học và tham gia Cuộc thi tùy mức độ vi phạm sẽ bị cảnh cáo trước toàn Cuộc thi, đình chỉ thi, hủy kết quả thi.</w:t>
      </w:r>
    </w:p>
    <w:p w14:paraId="2DAF03F5"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2. Hủy kết quả thi và cấm tham dự Cuộc thi từ 01 (một) đến 02 (hai) năm nếu vi phạm một trong các nội dung sau: </w:t>
      </w:r>
    </w:p>
    <w:p w14:paraId="2E378B99" w14:textId="77777777" w:rsidR="00FA078A" w:rsidRPr="00C02782" w:rsidRDefault="006D16DD" w:rsidP="0089240E">
      <w:pPr>
        <w:snapToGrid w:val="0"/>
        <w:spacing w:before="120" w:after="120"/>
        <w:ind w:firstLine="709"/>
        <w:jc w:val="both"/>
        <w:rPr>
          <w:color w:val="000000" w:themeColor="text1"/>
          <w:spacing w:val="-8"/>
          <w:sz w:val="28"/>
          <w:szCs w:val="28"/>
        </w:rPr>
      </w:pPr>
      <w:r w:rsidRPr="00C02782">
        <w:rPr>
          <w:color w:val="000000" w:themeColor="text1"/>
          <w:spacing w:val="-8"/>
          <w:sz w:val="28"/>
          <w:szCs w:val="28"/>
        </w:rPr>
        <w:t xml:space="preserve">a) Xâm phạm thân thể, xúc phạm học sinh và người tham gia tổ chức Cuộc thi; </w:t>
      </w:r>
    </w:p>
    <w:p w14:paraId="23F32BE6" w14:textId="77777777" w:rsidR="00FA078A"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 xml:space="preserve">b) Gây rối làm mất trật tự an ninh tại khu vực tổ chức Cuộc thi; </w:t>
      </w:r>
    </w:p>
    <w:p w14:paraId="42E7DCB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c) Làm giả hồ sơ dự thi, nhật ký nghiên cứu hoặc dữ liệu gốc.</w:t>
      </w:r>
    </w:p>
    <w:p w14:paraId="540A2660"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Đối với hành vi vi phạm có dấu hiệu hình sự thì các cơ quan quản lý giáo dục lập hồ sơ gửi cơ quan có thẩm quyền xem xét, xử lý theo quy định.</w:t>
      </w:r>
    </w:p>
    <w:p w14:paraId="246F13EF"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39. Xử lý vi phạm đối với người hướng dẫn, cơ sở giáo dục, đơn vị dự thi</w:t>
      </w:r>
    </w:p>
    <w:p w14:paraId="545C703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Người hướng dẫn nghiên cứu để xảy ra vi phạm liêm chính khoa học của dự án do mình hướng dẫn, tùy tính chất, mức độ, bị xử lý theo quy định của pháp luật về viên chức, lao động và pháp luật có liên quan; có thể bị cấm tham gia hướng dẫn dự án dự thi từ 01 (một) đến 02 (hai) lần tổ chức Cuộc thi tiếp theo.</w:t>
      </w:r>
    </w:p>
    <w:p w14:paraId="794AF21B"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Cơ sở giáo dục, đơn vị dự thi không thực hiện đầy đủ trách nhiệm phê duyệt, đánh giá, lựa chọn, giám sát quá trình thực hiện dự án theo quy định tại Điều 17, Điều 33 Quy chế này, để xảy ra vi phạm liêm chính khoa học, tùy tính chất, mức độ vi phạm, bị nhắc nhở, phê bình hoặc xem xét trách nhiệm của người đứng đầu theo quy định của pháp luật.</w:t>
      </w:r>
    </w:p>
    <w:p w14:paraId="4B36F21D"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Việc xử lý vi phạm quy định tại Điều này không thay thế trách nhiệm xử lý kỷ luật, trách nhiệm dân sự, hình sự theo quy định của pháp luật (nếu có).</w:t>
      </w:r>
    </w:p>
    <w:p w14:paraId="15F32990"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lastRenderedPageBreak/>
        <w:t>Điều 40. Xử lý vi phạm đối với người tham gia tổ chức Cuộc thi</w:t>
      </w:r>
    </w:p>
    <w:p w14:paraId="2C8E49C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Công chức, viên chức tham gia tổ chức Cuộc thi có hành vi vi phạm quy chế Cuộc thi sẽ bị xử lý kỷ luật theo quy định của pháp luật về xử lý kỷ luật cán bộ, công chức, viên chức.</w:t>
      </w:r>
    </w:p>
    <w:p w14:paraId="69B18101"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Những người không phải là công chức, viên chức tham gia tổ chức Cuộc thi có hành vi vi phạm quy chế Cuộc thi tùy theo mức độ vi phạm sẽ bị xử lý theo quy định pháp luật.</w:t>
      </w:r>
    </w:p>
    <w:p w14:paraId="59AEED29"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Trong quá trình tổ chức Cuộc thi, khi phát hiện sai phạm, Bộ trưởng Bộ Giáo dục và Đào tạo có quyền đình chỉ việc tham gia tổ chức Cuộc thi đối với những người tham gia tổ chức Cuộc thi.</w:t>
      </w:r>
    </w:p>
    <w:p w14:paraId="26CD2A05" w14:textId="77777777" w:rsidR="00816167" w:rsidRPr="00C02782" w:rsidRDefault="006D16DD" w:rsidP="0089240E">
      <w:pPr>
        <w:snapToGrid w:val="0"/>
        <w:spacing w:before="120" w:after="120"/>
        <w:ind w:firstLine="709"/>
        <w:jc w:val="both"/>
        <w:rPr>
          <w:color w:val="000000" w:themeColor="text1"/>
          <w:spacing w:val="-6"/>
          <w:sz w:val="28"/>
          <w:szCs w:val="28"/>
        </w:rPr>
      </w:pPr>
      <w:r w:rsidRPr="00C02782">
        <w:rPr>
          <w:color w:val="000000" w:themeColor="text1"/>
          <w:spacing w:val="-6"/>
          <w:sz w:val="28"/>
          <w:szCs w:val="28"/>
        </w:rPr>
        <w:t>4. Các hình thức xử lý vi phạm quy định tại khoản 1 và khoản 2 Điều này do thủ trưởng cơ quan quản lý cán bộ, công chức, viên chức ra quyết định theo quy định.</w:t>
      </w:r>
    </w:p>
    <w:p w14:paraId="27D1B96A" w14:textId="77777777" w:rsidR="00816167" w:rsidRPr="00C02782" w:rsidRDefault="006D16DD" w:rsidP="0089240E">
      <w:pPr>
        <w:snapToGrid w:val="0"/>
        <w:spacing w:before="120" w:after="120"/>
        <w:ind w:firstLine="709"/>
        <w:jc w:val="both"/>
        <w:rPr>
          <w:color w:val="000000" w:themeColor="text1"/>
          <w:sz w:val="28"/>
          <w:szCs w:val="28"/>
        </w:rPr>
      </w:pPr>
      <w:r w:rsidRPr="00C02782">
        <w:rPr>
          <w:b/>
          <w:bCs/>
          <w:color w:val="000000" w:themeColor="text1"/>
          <w:sz w:val="28"/>
          <w:szCs w:val="28"/>
        </w:rPr>
        <w:t>Điều 41. Thu hồi kết quả, giải thưởng</w:t>
      </w:r>
    </w:p>
    <w:p w14:paraId="33C2E8CE"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1. Kết quả, giải thưởng của dự án dự thi bị thu hồi trong các trường hợp sau: dự án được xác định vi phạm liêm chính khoa học theo kết quả xác minh quy định tại Điều 13 Quy chế này; dự án có hồ sơ, nhật ký nghiên cứu, dữ liệu gốc giả mạo; các trường hợp khác theo quyết định của cơ quan có thẩm quyền.</w:t>
      </w:r>
    </w:p>
    <w:p w14:paraId="576A03BF"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2. Trưởng Ban chỉ đạo Cuộc thi quyết định thu hồi kết quả, giải thưởng trên cơ sở đề xuất của Tổ tư vấn hoặc Hội đồng thẩm định hồ sơ dự thi sau khi xác minh; đồng thời xem xét trách nhiệm của học sinh, người hướng dẫn, cơ sở giáo dục, đơn vị dự thi có liên quan theo quy định tại Điều 38, Điều 39 Quy chế này.</w:t>
      </w:r>
    </w:p>
    <w:p w14:paraId="191E9938" w14:textId="77777777" w:rsidR="00816167" w:rsidRPr="00C02782" w:rsidRDefault="006D16DD" w:rsidP="0089240E">
      <w:pPr>
        <w:snapToGrid w:val="0"/>
        <w:spacing w:before="120" w:after="120"/>
        <w:ind w:firstLine="709"/>
        <w:jc w:val="both"/>
        <w:rPr>
          <w:color w:val="000000" w:themeColor="text1"/>
          <w:sz w:val="28"/>
          <w:szCs w:val="28"/>
        </w:rPr>
      </w:pPr>
      <w:r w:rsidRPr="00C02782">
        <w:rPr>
          <w:color w:val="000000" w:themeColor="text1"/>
          <w:sz w:val="28"/>
          <w:szCs w:val="28"/>
        </w:rPr>
        <w:t>3. Việc thu hồi kết quả, giải thưởng được thông báo công khai theo hình thức tương ứng với hình thức đã công bố kết quả, giải thưởng.</w:t>
      </w:r>
    </w:p>
    <w:p w14:paraId="45E8C339" w14:textId="77777777" w:rsidR="00816167" w:rsidRPr="00C02782" w:rsidRDefault="006D16DD" w:rsidP="007A393F">
      <w:pPr>
        <w:snapToGrid w:val="0"/>
        <w:spacing w:before="100" w:after="100"/>
        <w:jc w:val="center"/>
        <w:rPr>
          <w:b/>
          <w:bCs/>
          <w:color w:val="000000" w:themeColor="text1"/>
          <w:sz w:val="28"/>
          <w:szCs w:val="28"/>
        </w:rPr>
      </w:pPr>
      <w:r w:rsidRPr="00C02782">
        <w:rPr>
          <w:color w:val="000000" w:themeColor="text1"/>
          <w:sz w:val="28"/>
          <w:szCs w:val="28"/>
        </w:rPr>
        <w:br w:type="page"/>
      </w:r>
      <w:r w:rsidRPr="00C02782">
        <w:rPr>
          <w:b/>
          <w:bCs/>
          <w:color w:val="000000" w:themeColor="text1"/>
          <w:sz w:val="28"/>
          <w:szCs w:val="28"/>
        </w:rPr>
        <w:lastRenderedPageBreak/>
        <w:t>Phụ lục 1</w:t>
      </w:r>
    </w:p>
    <w:p w14:paraId="0D963F4C" w14:textId="77777777" w:rsidR="00816167" w:rsidRPr="00C02782" w:rsidRDefault="006D16DD" w:rsidP="002A597E">
      <w:pPr>
        <w:spacing w:after="20" w:line="300" w:lineRule="auto"/>
        <w:jc w:val="center"/>
        <w:rPr>
          <w:color w:val="000000" w:themeColor="text1"/>
        </w:rPr>
      </w:pPr>
      <w:r w:rsidRPr="00C02782">
        <w:rPr>
          <w:b/>
          <w:bCs/>
          <w:color w:val="000000" w:themeColor="text1"/>
          <w:sz w:val="28"/>
          <w:szCs w:val="28"/>
        </w:rPr>
        <w:t>CÁC LĨNH VỰC CỦA CUỘC THI</w:t>
      </w:r>
    </w:p>
    <w:p w14:paraId="5806F510" w14:textId="77777777" w:rsidR="00816167" w:rsidRPr="00C02782" w:rsidRDefault="006D16DD" w:rsidP="00FA078A">
      <w:pPr>
        <w:snapToGrid w:val="0"/>
        <w:jc w:val="center"/>
        <w:rPr>
          <w:color w:val="000000" w:themeColor="text1"/>
          <w:sz w:val="22"/>
          <w:szCs w:val="22"/>
        </w:rPr>
      </w:pPr>
      <w:r w:rsidRPr="00C02782">
        <w:rPr>
          <w:i/>
          <w:iCs/>
          <w:color w:val="000000" w:themeColor="text1"/>
          <w:sz w:val="28"/>
          <w:szCs w:val="28"/>
        </w:rPr>
        <w:t>(Kèm theo Thông tư số      /2026/TT-BGDĐT ngày    tháng    năm 2026</w:t>
      </w:r>
    </w:p>
    <w:p w14:paraId="1DF45855" w14:textId="77777777" w:rsidR="00816167" w:rsidRPr="00C02782" w:rsidRDefault="006D16DD" w:rsidP="00FA078A">
      <w:pPr>
        <w:snapToGrid w:val="0"/>
        <w:jc w:val="center"/>
        <w:rPr>
          <w:i/>
          <w:iCs/>
          <w:color w:val="000000" w:themeColor="text1"/>
          <w:sz w:val="28"/>
          <w:szCs w:val="28"/>
        </w:rPr>
      </w:pPr>
      <w:r w:rsidRPr="00C02782">
        <w:rPr>
          <w:i/>
          <w:iCs/>
          <w:color w:val="000000" w:themeColor="text1"/>
          <w:sz w:val="28"/>
          <w:szCs w:val="28"/>
        </w:rPr>
        <w:t>của Bộ trưởng Bộ Giáo dục và Đào tạo)</w:t>
      </w:r>
    </w:p>
    <w:p w14:paraId="41ED6F79" w14:textId="77777777" w:rsidR="00FA078A" w:rsidRPr="00C02782" w:rsidRDefault="00FA078A" w:rsidP="00FA078A">
      <w:pPr>
        <w:snapToGrid w:val="0"/>
        <w:jc w:val="center"/>
        <w:rPr>
          <w:color w:val="000000" w:themeColor="text1"/>
          <w:sz w:val="22"/>
          <w:szCs w:val="22"/>
        </w:rPr>
      </w:pPr>
    </w:p>
    <w:p w14:paraId="4CDA5072" w14:textId="52E93D83" w:rsidR="00816167" w:rsidRPr="00C02782" w:rsidRDefault="006D16DD">
      <w:pPr>
        <w:spacing w:after="160" w:line="300" w:lineRule="auto"/>
        <w:ind w:firstLine="624"/>
        <w:jc w:val="both"/>
        <w:rPr>
          <w:color w:val="000000" w:themeColor="text1"/>
          <w:sz w:val="28"/>
          <w:szCs w:val="28"/>
        </w:rPr>
      </w:pPr>
      <w:r w:rsidRPr="00C02782">
        <w:rPr>
          <w:color w:val="000000" w:themeColor="text1"/>
          <w:sz w:val="28"/>
          <w:szCs w:val="28"/>
        </w:rPr>
        <w:t xml:space="preserve">Danh mục lĩnh vực dự thi gồm </w:t>
      </w:r>
      <w:r w:rsidR="000962A5" w:rsidRPr="00C02782">
        <w:rPr>
          <w:color w:val="000000" w:themeColor="text1"/>
          <w:sz w:val="28"/>
          <w:szCs w:val="28"/>
        </w:rPr>
        <w:t>16</w:t>
      </w:r>
      <w:r w:rsidRPr="00C02782">
        <w:rPr>
          <w:color w:val="000000" w:themeColor="text1"/>
          <w:sz w:val="28"/>
          <w:szCs w:val="28"/>
        </w:rPr>
        <w:t xml:space="preserve"> (mười </w:t>
      </w:r>
      <w:r w:rsidR="000962A5" w:rsidRPr="00C02782">
        <w:rPr>
          <w:color w:val="000000" w:themeColor="text1"/>
          <w:sz w:val="28"/>
          <w:szCs w:val="28"/>
        </w:rPr>
        <w:t>sáu</w:t>
      </w:r>
      <w:r w:rsidRPr="00C02782">
        <w:rPr>
          <w:color w:val="000000" w:themeColor="text1"/>
          <w:sz w:val="28"/>
          <w:szCs w:val="28"/>
        </w:rPr>
        <w:t>) lĩnh vực, cụ thể như sau:</w:t>
      </w:r>
    </w:p>
    <w:p w14:paraId="2FF98E14" w14:textId="2EDB3D65"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Sinh học</w:t>
      </w:r>
    </w:p>
    <w:p w14:paraId="74489B29" w14:textId="1BD0F38F"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Sinh học ứng dụng</w:t>
      </w:r>
    </w:p>
    <w:p w14:paraId="69C5E47F" w14:textId="17D6839E"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Khoa học vật chất</w:t>
      </w:r>
    </w:p>
    <w:p w14:paraId="71E62CCC" w14:textId="5490532A"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Khoa học trái đất</w:t>
      </w:r>
    </w:p>
    <w:p w14:paraId="7148CDC1" w14:textId="13F46B3F"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Toán học</w:t>
      </w:r>
    </w:p>
    <w:p w14:paraId="20C7EB0E" w14:textId="00C768DB"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Thống kê</w:t>
      </w:r>
    </w:p>
    <w:p w14:paraId="262F5929" w14:textId="3668C8D2"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Máy tính</w:t>
      </w:r>
    </w:p>
    <w:p w14:paraId="58BAC760" w14:textId="0A4CDA0A"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Công nghệ thông tin</w:t>
      </w:r>
    </w:p>
    <w:p w14:paraId="0708B2D6" w14:textId="7E42E8F4"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Kỹ thuật cơ khí và cơ kỹ thuật</w:t>
      </w:r>
    </w:p>
    <w:p w14:paraId="787E1B48" w14:textId="6165AA2B"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Kỹ thuật điện, điện tử và viễn thông</w:t>
      </w:r>
    </w:p>
    <w:p w14:paraId="2C4691A7" w14:textId="3121CE1D"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Kỹ thuật hóa học, vật liệu, luyện kim và môi trường</w:t>
      </w:r>
    </w:p>
    <w:p w14:paraId="34A427DF" w14:textId="76584B05"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Vật lý kỹ thuật</w:t>
      </w:r>
    </w:p>
    <w:p w14:paraId="0AAE2403" w14:textId="6A966F50"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Kỹ thuật địa chất, địa vật lý và trắc địa</w:t>
      </w:r>
    </w:p>
    <w:p w14:paraId="393F1895" w14:textId="0B7B75A1"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Kỹ thuật mỏ</w:t>
      </w:r>
    </w:p>
    <w:p w14:paraId="65060473" w14:textId="5F5F9B8A"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Xây dựng</w:t>
      </w:r>
    </w:p>
    <w:p w14:paraId="0F68036C" w14:textId="47702D6F" w:rsidR="000962A5" w:rsidRPr="00C02782" w:rsidRDefault="000962A5" w:rsidP="00C02782">
      <w:pPr>
        <w:pStyle w:val="ListParagraph"/>
        <w:numPr>
          <w:ilvl w:val="0"/>
          <w:numId w:val="3"/>
        </w:numPr>
        <w:spacing w:before="120" w:after="120"/>
        <w:ind w:left="981" w:hanging="130"/>
        <w:jc w:val="both"/>
        <w:rPr>
          <w:color w:val="000000" w:themeColor="text1"/>
          <w:sz w:val="28"/>
          <w:szCs w:val="28"/>
        </w:rPr>
      </w:pPr>
      <w:r w:rsidRPr="00C02782">
        <w:rPr>
          <w:color w:val="000000" w:themeColor="text1"/>
          <w:sz w:val="28"/>
          <w:szCs w:val="28"/>
        </w:rPr>
        <w:t>Khoa học xã hội và hành vi</w:t>
      </w:r>
    </w:p>
    <w:p w14:paraId="659A6CA5" w14:textId="77777777" w:rsidR="000962A5" w:rsidRPr="00C02782" w:rsidRDefault="000962A5">
      <w:pPr>
        <w:spacing w:after="160" w:line="300" w:lineRule="auto"/>
        <w:ind w:firstLine="624"/>
        <w:jc w:val="both"/>
        <w:rPr>
          <w:color w:val="000000" w:themeColor="text1"/>
          <w:sz w:val="28"/>
          <w:szCs w:val="28"/>
        </w:rPr>
      </w:pPr>
    </w:p>
    <w:p w14:paraId="2D6E3C03" w14:textId="77777777" w:rsidR="00FA078A" w:rsidRPr="00C02782" w:rsidRDefault="00FA078A">
      <w:pPr>
        <w:rPr>
          <w:b/>
          <w:bCs/>
          <w:color w:val="000000" w:themeColor="text1"/>
          <w:sz w:val="28"/>
          <w:szCs w:val="28"/>
        </w:rPr>
      </w:pPr>
      <w:r w:rsidRPr="00C02782">
        <w:rPr>
          <w:b/>
          <w:bCs/>
          <w:color w:val="000000" w:themeColor="text1"/>
          <w:sz w:val="28"/>
          <w:szCs w:val="28"/>
        </w:rPr>
        <w:br w:type="page"/>
      </w:r>
    </w:p>
    <w:p w14:paraId="79010AFD" w14:textId="77777777" w:rsidR="00816167" w:rsidRPr="00C02782" w:rsidRDefault="006D16DD">
      <w:pPr>
        <w:spacing w:after="20" w:line="300" w:lineRule="auto"/>
        <w:jc w:val="center"/>
        <w:rPr>
          <w:color w:val="000000" w:themeColor="text1"/>
        </w:rPr>
      </w:pPr>
      <w:r w:rsidRPr="00C02782">
        <w:rPr>
          <w:b/>
          <w:bCs/>
          <w:color w:val="000000" w:themeColor="text1"/>
          <w:sz w:val="28"/>
          <w:szCs w:val="28"/>
        </w:rPr>
        <w:lastRenderedPageBreak/>
        <w:t>Phụ lục 2</w:t>
      </w:r>
    </w:p>
    <w:p w14:paraId="380F8C30" w14:textId="77777777" w:rsidR="00816167" w:rsidRPr="00C02782" w:rsidRDefault="006D16DD">
      <w:pPr>
        <w:spacing w:after="20" w:line="300" w:lineRule="auto"/>
        <w:jc w:val="center"/>
        <w:rPr>
          <w:color w:val="000000" w:themeColor="text1"/>
        </w:rPr>
      </w:pPr>
      <w:r w:rsidRPr="00C02782">
        <w:rPr>
          <w:b/>
          <w:bCs/>
          <w:color w:val="000000" w:themeColor="text1"/>
          <w:sz w:val="28"/>
          <w:szCs w:val="28"/>
        </w:rPr>
        <w:t>TIÊU CHÍ ĐÁNH GIÁ DỰ ÁN DỰ THI</w:t>
      </w:r>
    </w:p>
    <w:p w14:paraId="4781E614" w14:textId="77777777" w:rsidR="00816167" w:rsidRPr="00C02782" w:rsidRDefault="006D16DD" w:rsidP="00FA078A">
      <w:pPr>
        <w:snapToGrid w:val="0"/>
        <w:jc w:val="center"/>
        <w:rPr>
          <w:color w:val="000000" w:themeColor="text1"/>
          <w:sz w:val="22"/>
          <w:szCs w:val="22"/>
        </w:rPr>
      </w:pPr>
      <w:r w:rsidRPr="00C02782">
        <w:rPr>
          <w:i/>
          <w:iCs/>
          <w:color w:val="000000" w:themeColor="text1"/>
          <w:sz w:val="28"/>
          <w:szCs w:val="28"/>
        </w:rPr>
        <w:t>(Kèm theo Thông tư số      /2026/TT-BGDĐT ngày    tháng    năm 2026</w:t>
      </w:r>
    </w:p>
    <w:p w14:paraId="5D646288" w14:textId="77777777" w:rsidR="00816167" w:rsidRPr="00C02782" w:rsidRDefault="006D16DD" w:rsidP="00FA078A">
      <w:pPr>
        <w:snapToGrid w:val="0"/>
        <w:jc w:val="center"/>
        <w:rPr>
          <w:i/>
          <w:iCs/>
          <w:color w:val="000000" w:themeColor="text1"/>
          <w:sz w:val="28"/>
          <w:szCs w:val="28"/>
        </w:rPr>
      </w:pPr>
      <w:r w:rsidRPr="00C02782">
        <w:rPr>
          <w:i/>
          <w:iCs/>
          <w:color w:val="000000" w:themeColor="text1"/>
          <w:sz w:val="28"/>
          <w:szCs w:val="28"/>
        </w:rPr>
        <w:t>của Bộ trưởng Bộ Giáo dục và Đào tạo)</w:t>
      </w:r>
    </w:p>
    <w:p w14:paraId="6F24F05E" w14:textId="77777777" w:rsidR="00FA078A" w:rsidRPr="00C02782" w:rsidRDefault="00FA078A" w:rsidP="00FA078A">
      <w:pPr>
        <w:snapToGrid w:val="0"/>
        <w:jc w:val="center"/>
        <w:rPr>
          <w:color w:val="000000" w:themeColor="text1"/>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772"/>
        <w:gridCol w:w="3197"/>
        <w:gridCol w:w="2977"/>
      </w:tblGrid>
      <w:tr w:rsidR="00C02782" w:rsidRPr="00C02782" w14:paraId="72EEF60C" w14:textId="77777777" w:rsidTr="00C02782">
        <w:tc>
          <w:tcPr>
            <w:tcW w:w="2263" w:type="dxa"/>
            <w:shd w:val="clear" w:color="auto" w:fill="D9E2F3"/>
            <w:tcMar>
              <w:top w:w="60" w:type="dxa"/>
              <w:left w:w="90" w:type="dxa"/>
              <w:bottom w:w="60" w:type="dxa"/>
              <w:right w:w="90" w:type="dxa"/>
            </w:tcMar>
            <w:vAlign w:val="center"/>
          </w:tcPr>
          <w:p w14:paraId="64A13989" w14:textId="77777777" w:rsidR="00C02782" w:rsidRPr="00C02782" w:rsidRDefault="00C02782" w:rsidP="000C257D">
            <w:pPr>
              <w:spacing w:after="20" w:line="250" w:lineRule="auto"/>
              <w:jc w:val="center"/>
              <w:rPr>
                <w:color w:val="000000" w:themeColor="text1"/>
                <w:sz w:val="26"/>
                <w:szCs w:val="26"/>
              </w:rPr>
            </w:pPr>
            <w:r w:rsidRPr="00C02782">
              <w:rPr>
                <w:b/>
                <w:bCs/>
                <w:color w:val="000000" w:themeColor="text1"/>
                <w:sz w:val="26"/>
                <w:szCs w:val="26"/>
              </w:rPr>
              <w:t>Tiêu chí</w:t>
            </w:r>
          </w:p>
        </w:tc>
        <w:tc>
          <w:tcPr>
            <w:tcW w:w="772" w:type="dxa"/>
            <w:shd w:val="clear" w:color="auto" w:fill="D9E2F3"/>
            <w:tcMar>
              <w:top w:w="60" w:type="dxa"/>
              <w:left w:w="90" w:type="dxa"/>
              <w:bottom w:w="60" w:type="dxa"/>
              <w:right w:w="90" w:type="dxa"/>
            </w:tcMar>
            <w:vAlign w:val="center"/>
          </w:tcPr>
          <w:p w14:paraId="18291A0F" w14:textId="77777777" w:rsidR="00C02782" w:rsidRPr="00C02782" w:rsidRDefault="00C02782" w:rsidP="000C257D">
            <w:pPr>
              <w:spacing w:after="20" w:line="250" w:lineRule="auto"/>
              <w:jc w:val="center"/>
              <w:rPr>
                <w:color w:val="000000" w:themeColor="text1"/>
                <w:sz w:val="26"/>
                <w:szCs w:val="26"/>
              </w:rPr>
            </w:pPr>
            <w:r w:rsidRPr="00C02782">
              <w:rPr>
                <w:b/>
                <w:bCs/>
                <w:color w:val="000000" w:themeColor="text1"/>
                <w:sz w:val="26"/>
                <w:szCs w:val="26"/>
              </w:rPr>
              <w:t>Điểm</w:t>
            </w:r>
          </w:p>
        </w:tc>
        <w:tc>
          <w:tcPr>
            <w:tcW w:w="3197" w:type="dxa"/>
            <w:shd w:val="clear" w:color="auto" w:fill="D9E2F3"/>
            <w:tcMar>
              <w:top w:w="60" w:type="dxa"/>
              <w:left w:w="90" w:type="dxa"/>
              <w:bottom w:w="60" w:type="dxa"/>
              <w:right w:w="90" w:type="dxa"/>
            </w:tcMar>
            <w:vAlign w:val="center"/>
          </w:tcPr>
          <w:p w14:paraId="7BD96A64" w14:textId="77777777" w:rsidR="00C02782" w:rsidRPr="00C02782" w:rsidRDefault="00C02782" w:rsidP="000C257D">
            <w:pPr>
              <w:spacing w:after="20" w:line="250" w:lineRule="auto"/>
              <w:jc w:val="center"/>
              <w:rPr>
                <w:color w:val="000000" w:themeColor="text1"/>
                <w:sz w:val="26"/>
                <w:szCs w:val="26"/>
              </w:rPr>
            </w:pPr>
            <w:r w:rsidRPr="00C02782">
              <w:rPr>
                <w:b/>
                <w:bCs/>
                <w:color w:val="000000" w:themeColor="text1"/>
                <w:sz w:val="26"/>
                <w:szCs w:val="26"/>
              </w:rPr>
              <w:t>Dự án khoa học</w:t>
            </w:r>
          </w:p>
        </w:tc>
        <w:tc>
          <w:tcPr>
            <w:tcW w:w="2977" w:type="dxa"/>
            <w:shd w:val="clear" w:color="auto" w:fill="D9E2F3"/>
            <w:tcMar>
              <w:top w:w="60" w:type="dxa"/>
              <w:left w:w="90" w:type="dxa"/>
              <w:bottom w:w="60" w:type="dxa"/>
              <w:right w:w="90" w:type="dxa"/>
            </w:tcMar>
            <w:vAlign w:val="center"/>
          </w:tcPr>
          <w:p w14:paraId="5ED38054" w14:textId="77777777" w:rsidR="00C02782" w:rsidRPr="00C02782" w:rsidRDefault="00C02782" w:rsidP="000C257D">
            <w:pPr>
              <w:spacing w:after="20" w:line="250" w:lineRule="auto"/>
              <w:jc w:val="center"/>
              <w:rPr>
                <w:color w:val="000000" w:themeColor="text1"/>
                <w:sz w:val="26"/>
                <w:szCs w:val="26"/>
              </w:rPr>
            </w:pPr>
            <w:r w:rsidRPr="00C02782">
              <w:rPr>
                <w:b/>
                <w:bCs/>
                <w:color w:val="000000" w:themeColor="text1"/>
                <w:sz w:val="26"/>
                <w:szCs w:val="26"/>
              </w:rPr>
              <w:t>Dự án kỹ thuật</w:t>
            </w:r>
          </w:p>
        </w:tc>
      </w:tr>
      <w:tr w:rsidR="00C02782" w:rsidRPr="00C02782" w14:paraId="52AEE32A" w14:textId="77777777" w:rsidTr="00C02782">
        <w:tc>
          <w:tcPr>
            <w:tcW w:w="9209" w:type="dxa"/>
            <w:gridSpan w:val="4"/>
            <w:tcMar>
              <w:top w:w="60" w:type="dxa"/>
              <w:left w:w="90" w:type="dxa"/>
              <w:bottom w:w="60" w:type="dxa"/>
              <w:right w:w="90" w:type="dxa"/>
            </w:tcMar>
            <w:vAlign w:val="center"/>
          </w:tcPr>
          <w:p w14:paraId="54621AE7" w14:textId="77777777" w:rsidR="00C02782" w:rsidRPr="00C02782" w:rsidRDefault="00C02782" w:rsidP="000C257D">
            <w:pPr>
              <w:spacing w:after="20" w:line="250" w:lineRule="auto"/>
              <w:rPr>
                <w:color w:val="000000" w:themeColor="text1"/>
                <w:sz w:val="26"/>
                <w:szCs w:val="26"/>
              </w:rPr>
            </w:pPr>
            <w:r w:rsidRPr="00C02782">
              <w:rPr>
                <w:b/>
                <w:bCs/>
                <w:color w:val="000000" w:themeColor="text1"/>
                <w:sz w:val="26"/>
                <w:szCs w:val="26"/>
              </w:rPr>
              <w:t>I. Câu hỏi/vấn đề nghiên cứu (10 điểm)</w:t>
            </w:r>
          </w:p>
        </w:tc>
      </w:tr>
      <w:tr w:rsidR="00C02782" w:rsidRPr="00C02782" w14:paraId="1DA9D5D8" w14:textId="77777777" w:rsidTr="00C02782">
        <w:tc>
          <w:tcPr>
            <w:tcW w:w="2263" w:type="dxa"/>
            <w:tcMar>
              <w:top w:w="60" w:type="dxa"/>
              <w:left w:w="90" w:type="dxa"/>
              <w:bottom w:w="60" w:type="dxa"/>
              <w:right w:w="90" w:type="dxa"/>
            </w:tcMar>
            <w:vAlign w:val="center"/>
          </w:tcPr>
          <w:p w14:paraId="1A4D9488"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1. Mục tiêu, đóng góp của nghiên cứu</w:t>
            </w:r>
          </w:p>
        </w:tc>
        <w:tc>
          <w:tcPr>
            <w:tcW w:w="772" w:type="dxa"/>
            <w:tcMar>
              <w:top w:w="60" w:type="dxa"/>
              <w:left w:w="90" w:type="dxa"/>
              <w:bottom w:w="60" w:type="dxa"/>
              <w:right w:w="90" w:type="dxa"/>
            </w:tcMar>
            <w:vAlign w:val="center"/>
          </w:tcPr>
          <w:p w14:paraId="2D47E9D1"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3AE1CA8C"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Mục tiêu nghiên cứu cụ thể, rõ ràng; xác định được đóng góp của dự án vào lĩnh vực nghiên cứu.</w:t>
            </w:r>
          </w:p>
        </w:tc>
        <w:tc>
          <w:tcPr>
            <w:tcW w:w="2977" w:type="dxa"/>
            <w:tcMar>
              <w:top w:w="60" w:type="dxa"/>
              <w:left w:w="90" w:type="dxa"/>
              <w:bottom w:w="60" w:type="dxa"/>
              <w:right w:w="90" w:type="dxa"/>
            </w:tcMar>
            <w:vAlign w:val="center"/>
          </w:tcPr>
          <w:p w14:paraId="03242B9D"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Mô tả rõ nhu cầu thực tế, vấn đề cần giải quyết; xác định rõ tiêu chí của giải pháp cần đạt được.</w:t>
            </w:r>
          </w:p>
        </w:tc>
      </w:tr>
      <w:tr w:rsidR="00C02782" w:rsidRPr="00C02782" w14:paraId="4251E71E" w14:textId="77777777" w:rsidTr="00C02782">
        <w:tc>
          <w:tcPr>
            <w:tcW w:w="2263" w:type="dxa"/>
            <w:tcMar>
              <w:top w:w="60" w:type="dxa"/>
              <w:left w:w="90" w:type="dxa"/>
              <w:bottom w:w="60" w:type="dxa"/>
              <w:right w:w="90" w:type="dxa"/>
            </w:tcMar>
            <w:vAlign w:val="center"/>
          </w:tcPr>
          <w:p w14:paraId="177D6E9B"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2. Tính khả kiểm chứng</w:t>
            </w:r>
          </w:p>
        </w:tc>
        <w:tc>
          <w:tcPr>
            <w:tcW w:w="772" w:type="dxa"/>
            <w:tcMar>
              <w:top w:w="60" w:type="dxa"/>
              <w:left w:w="90" w:type="dxa"/>
              <w:bottom w:w="60" w:type="dxa"/>
              <w:right w:w="90" w:type="dxa"/>
            </w:tcMar>
            <w:vAlign w:val="center"/>
          </w:tcPr>
          <w:p w14:paraId="4208DE17"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693CF185"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Câu hỏi nghiên cứu có thể kiểm chứng, đánh giá bằng phương pháp khoa học.</w:t>
            </w:r>
          </w:p>
        </w:tc>
        <w:tc>
          <w:tcPr>
            <w:tcW w:w="2977" w:type="dxa"/>
            <w:tcMar>
              <w:top w:w="60" w:type="dxa"/>
              <w:left w:w="90" w:type="dxa"/>
              <w:bottom w:w="60" w:type="dxa"/>
              <w:right w:w="90" w:type="dxa"/>
            </w:tcMar>
            <w:vAlign w:val="center"/>
          </w:tcPr>
          <w:p w14:paraId="620A5B0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Giải thích rõ các ràng buộc, giới hạn của vấn đề kỹ thuật cần giải quyết.</w:t>
            </w:r>
          </w:p>
        </w:tc>
      </w:tr>
      <w:tr w:rsidR="00C02782" w:rsidRPr="00C02782" w14:paraId="64209532" w14:textId="77777777" w:rsidTr="00C02782">
        <w:tc>
          <w:tcPr>
            <w:tcW w:w="9209" w:type="dxa"/>
            <w:gridSpan w:val="4"/>
            <w:tcMar>
              <w:top w:w="60" w:type="dxa"/>
              <w:left w:w="90" w:type="dxa"/>
              <w:bottom w:w="60" w:type="dxa"/>
              <w:right w:w="90" w:type="dxa"/>
            </w:tcMar>
            <w:vAlign w:val="center"/>
          </w:tcPr>
          <w:p w14:paraId="5B1C34C0" w14:textId="77777777" w:rsidR="00C02782" w:rsidRPr="00C02782" w:rsidRDefault="00C02782" w:rsidP="000C257D">
            <w:pPr>
              <w:spacing w:after="20" w:line="250" w:lineRule="auto"/>
              <w:rPr>
                <w:color w:val="000000" w:themeColor="text1"/>
                <w:sz w:val="26"/>
                <w:szCs w:val="26"/>
              </w:rPr>
            </w:pPr>
            <w:r w:rsidRPr="00C02782">
              <w:rPr>
                <w:b/>
                <w:bCs/>
                <w:color w:val="000000" w:themeColor="text1"/>
                <w:sz w:val="26"/>
                <w:szCs w:val="26"/>
              </w:rPr>
              <w:t>II. Thiết kế và phương pháp nghiên cứu (15 điểm)</w:t>
            </w:r>
          </w:p>
        </w:tc>
      </w:tr>
      <w:tr w:rsidR="00C02782" w:rsidRPr="00C02782" w14:paraId="2D9A16D0" w14:textId="77777777" w:rsidTr="00C02782">
        <w:tc>
          <w:tcPr>
            <w:tcW w:w="2263" w:type="dxa"/>
            <w:tcMar>
              <w:top w:w="60" w:type="dxa"/>
              <w:left w:w="90" w:type="dxa"/>
              <w:bottom w:w="60" w:type="dxa"/>
              <w:right w:w="90" w:type="dxa"/>
            </w:tcMar>
            <w:vAlign w:val="center"/>
          </w:tcPr>
          <w:p w14:paraId="51088B23"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1. Thiết kế nghiên cứu</w:t>
            </w:r>
          </w:p>
        </w:tc>
        <w:tc>
          <w:tcPr>
            <w:tcW w:w="772" w:type="dxa"/>
            <w:tcMar>
              <w:top w:w="60" w:type="dxa"/>
              <w:left w:w="90" w:type="dxa"/>
              <w:bottom w:w="60" w:type="dxa"/>
              <w:right w:w="90" w:type="dxa"/>
            </w:tcMar>
            <w:vAlign w:val="center"/>
          </w:tcPr>
          <w:p w14:paraId="4FCE8DBD"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42206533"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Kế hoạch nghiên cứu được thiết kế khoa học, logic, phù hợp với mục tiêu và câu hỏi nghiên cứu đã xác định.</w:t>
            </w:r>
          </w:p>
        </w:tc>
        <w:tc>
          <w:tcPr>
            <w:tcW w:w="2977" w:type="dxa"/>
            <w:tcMar>
              <w:top w:w="60" w:type="dxa"/>
              <w:left w:w="90" w:type="dxa"/>
              <w:bottom w:w="60" w:type="dxa"/>
              <w:right w:w="90" w:type="dxa"/>
            </w:tcMar>
            <w:vAlign w:val="center"/>
          </w:tcPr>
          <w:p w14:paraId="6FD731B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Khám phá, so sánh các phương án khả thi để giải quyết vấn đề kỹ thuật trước khi lựa chọn giải pháp.</w:t>
            </w:r>
          </w:p>
        </w:tc>
      </w:tr>
      <w:tr w:rsidR="00C02782" w:rsidRPr="00C02782" w14:paraId="60500474" w14:textId="77777777" w:rsidTr="00C02782">
        <w:tc>
          <w:tcPr>
            <w:tcW w:w="2263" w:type="dxa"/>
            <w:tcMar>
              <w:top w:w="60" w:type="dxa"/>
              <w:left w:w="90" w:type="dxa"/>
              <w:bottom w:w="60" w:type="dxa"/>
              <w:right w:w="90" w:type="dxa"/>
            </w:tcMar>
            <w:vAlign w:val="center"/>
          </w:tcPr>
          <w:p w14:paraId="0B69F65E"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2. Phương pháp nghiên cứu</w:t>
            </w:r>
          </w:p>
        </w:tc>
        <w:tc>
          <w:tcPr>
            <w:tcW w:w="772" w:type="dxa"/>
            <w:tcMar>
              <w:top w:w="60" w:type="dxa"/>
              <w:left w:w="90" w:type="dxa"/>
              <w:bottom w:w="60" w:type="dxa"/>
              <w:right w:w="90" w:type="dxa"/>
            </w:tcMar>
            <w:vAlign w:val="center"/>
          </w:tcPr>
          <w:p w14:paraId="7B1D2E97"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29914AC5"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Phương pháp thu thập dữ liệu phù hợp, khả thi, có độ tin cậy, phù hợp với mục tiêu nghiên cứu.</w:t>
            </w:r>
          </w:p>
        </w:tc>
        <w:tc>
          <w:tcPr>
            <w:tcW w:w="2977" w:type="dxa"/>
            <w:tcMar>
              <w:top w:w="60" w:type="dxa"/>
              <w:left w:w="90" w:type="dxa"/>
              <w:bottom w:w="60" w:type="dxa"/>
              <w:right w:w="90" w:type="dxa"/>
            </w:tcMar>
            <w:vAlign w:val="center"/>
          </w:tcPr>
          <w:p w14:paraId="45EE4168"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Xác định rõ giải pháp được lựa chọn và phương pháp triển khai để xây dựng nguyên mẫu/mô hình.</w:t>
            </w:r>
          </w:p>
        </w:tc>
      </w:tr>
      <w:tr w:rsidR="00C02782" w:rsidRPr="00C02782" w14:paraId="7043EB66" w14:textId="77777777" w:rsidTr="00C02782">
        <w:tc>
          <w:tcPr>
            <w:tcW w:w="2263" w:type="dxa"/>
            <w:tcMar>
              <w:top w:w="60" w:type="dxa"/>
              <w:left w:w="90" w:type="dxa"/>
              <w:bottom w:w="60" w:type="dxa"/>
              <w:right w:w="90" w:type="dxa"/>
            </w:tcMar>
            <w:vAlign w:val="center"/>
          </w:tcPr>
          <w:p w14:paraId="78C7AF87"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3. Biến số, đối chứng/Nguyên mẫu, mô hình</w:t>
            </w:r>
          </w:p>
        </w:tc>
        <w:tc>
          <w:tcPr>
            <w:tcW w:w="772" w:type="dxa"/>
            <w:tcMar>
              <w:top w:w="60" w:type="dxa"/>
              <w:left w:w="90" w:type="dxa"/>
              <w:bottom w:w="60" w:type="dxa"/>
              <w:right w:w="90" w:type="dxa"/>
            </w:tcMar>
            <w:vAlign w:val="center"/>
          </w:tcPr>
          <w:p w14:paraId="1FA5C2A2"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35288C9B"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Biến số, đối chứng được xác định rõ ràng, phù hợp và đầy đủ.</w:t>
            </w:r>
          </w:p>
        </w:tc>
        <w:tc>
          <w:tcPr>
            <w:tcW w:w="2977" w:type="dxa"/>
            <w:tcMar>
              <w:top w:w="60" w:type="dxa"/>
              <w:left w:w="90" w:type="dxa"/>
              <w:bottom w:w="60" w:type="dxa"/>
              <w:right w:w="90" w:type="dxa"/>
            </w:tcMar>
            <w:vAlign w:val="center"/>
          </w:tcPr>
          <w:p w14:paraId="6FA6E24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Nguyên mẫu/mô hình được xây dựng phù hợp với giải pháp đã lựa chọn, có tính khả thi để kiểm tra, thử nghiệm.</w:t>
            </w:r>
          </w:p>
        </w:tc>
      </w:tr>
      <w:tr w:rsidR="00C02782" w:rsidRPr="00C02782" w14:paraId="453C86C7" w14:textId="77777777" w:rsidTr="00C02782">
        <w:tc>
          <w:tcPr>
            <w:tcW w:w="9209" w:type="dxa"/>
            <w:gridSpan w:val="4"/>
            <w:tcMar>
              <w:top w:w="60" w:type="dxa"/>
              <w:left w:w="90" w:type="dxa"/>
              <w:bottom w:w="60" w:type="dxa"/>
              <w:right w:w="90" w:type="dxa"/>
            </w:tcMar>
            <w:vAlign w:val="center"/>
          </w:tcPr>
          <w:p w14:paraId="78AAA302" w14:textId="77777777" w:rsidR="00C02782" w:rsidRPr="00C02782" w:rsidRDefault="00C02782" w:rsidP="000C257D">
            <w:pPr>
              <w:spacing w:after="20" w:line="250" w:lineRule="auto"/>
              <w:rPr>
                <w:color w:val="000000" w:themeColor="text1"/>
                <w:sz w:val="26"/>
                <w:szCs w:val="26"/>
              </w:rPr>
            </w:pPr>
            <w:r w:rsidRPr="00C02782">
              <w:rPr>
                <w:b/>
                <w:bCs/>
                <w:color w:val="000000" w:themeColor="text1"/>
                <w:sz w:val="26"/>
                <w:szCs w:val="26"/>
              </w:rPr>
              <w:t>III. Thực hiện: thu thập, phân tích dữ liệu, giải thích kết quả (đối với dự án khoa học)/ Chế tạo và kiểm tra (đối với dự án kỹ thuật) (20 điểm)</w:t>
            </w:r>
          </w:p>
        </w:tc>
      </w:tr>
      <w:tr w:rsidR="00C02782" w:rsidRPr="00C02782" w14:paraId="46D7A627" w14:textId="77777777" w:rsidTr="00C02782">
        <w:tc>
          <w:tcPr>
            <w:tcW w:w="2263" w:type="dxa"/>
            <w:tcMar>
              <w:top w:w="60" w:type="dxa"/>
              <w:left w:w="90" w:type="dxa"/>
              <w:bottom w:w="60" w:type="dxa"/>
              <w:right w:w="90" w:type="dxa"/>
            </w:tcMar>
            <w:vAlign w:val="center"/>
          </w:tcPr>
          <w:p w14:paraId="3E0B4E4B"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1. Quá trình thu thập/chế tạo</w:t>
            </w:r>
          </w:p>
        </w:tc>
        <w:tc>
          <w:tcPr>
            <w:tcW w:w="772" w:type="dxa"/>
            <w:tcMar>
              <w:top w:w="60" w:type="dxa"/>
              <w:left w:w="90" w:type="dxa"/>
              <w:bottom w:w="60" w:type="dxa"/>
              <w:right w:w="90" w:type="dxa"/>
            </w:tcMar>
            <w:vAlign w:val="center"/>
          </w:tcPr>
          <w:p w14:paraId="52C77075"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483210D8"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Thu thập, xử lý dữ liệu có hệ thống, khách quan.</w:t>
            </w:r>
          </w:p>
        </w:tc>
        <w:tc>
          <w:tcPr>
            <w:tcW w:w="2977" w:type="dxa"/>
            <w:tcMar>
              <w:top w:w="60" w:type="dxa"/>
              <w:left w:w="90" w:type="dxa"/>
              <w:bottom w:w="60" w:type="dxa"/>
              <w:right w:w="90" w:type="dxa"/>
            </w:tcMar>
            <w:vAlign w:val="center"/>
          </w:tcPr>
          <w:p w14:paraId="43BD0E3A"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Nguyên mẫu/mô hình thể hiện đúng thiết kế dự kiến.</w:t>
            </w:r>
          </w:p>
        </w:tc>
      </w:tr>
      <w:tr w:rsidR="00C02782" w:rsidRPr="00C02782" w14:paraId="207B542A" w14:textId="77777777" w:rsidTr="00C02782">
        <w:tc>
          <w:tcPr>
            <w:tcW w:w="2263" w:type="dxa"/>
            <w:tcMar>
              <w:top w:w="60" w:type="dxa"/>
              <w:left w:w="90" w:type="dxa"/>
              <w:bottom w:w="60" w:type="dxa"/>
              <w:right w:w="90" w:type="dxa"/>
            </w:tcMar>
            <w:vAlign w:val="center"/>
          </w:tcPr>
          <w:p w14:paraId="5A0E1343"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2. Khả năng kiểm chứng</w:t>
            </w:r>
          </w:p>
        </w:tc>
        <w:tc>
          <w:tcPr>
            <w:tcW w:w="772" w:type="dxa"/>
            <w:tcMar>
              <w:top w:w="60" w:type="dxa"/>
              <w:left w:w="90" w:type="dxa"/>
              <w:bottom w:w="60" w:type="dxa"/>
              <w:right w:w="90" w:type="dxa"/>
            </w:tcMar>
            <w:vAlign w:val="center"/>
          </w:tcPr>
          <w:p w14:paraId="6905DD29"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2102565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Kết quả nghiên cứu có khả năng lặp lại, kiểm chứng.</w:t>
            </w:r>
          </w:p>
        </w:tc>
        <w:tc>
          <w:tcPr>
            <w:tcW w:w="2977" w:type="dxa"/>
            <w:tcMar>
              <w:top w:w="60" w:type="dxa"/>
              <w:left w:w="90" w:type="dxa"/>
              <w:bottom w:w="60" w:type="dxa"/>
              <w:right w:w="90" w:type="dxa"/>
            </w:tcMar>
            <w:vAlign w:val="center"/>
          </w:tcPr>
          <w:p w14:paraId="71B74FBF"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Nguyên mẫu/mô hình được kiểm tra trong nhiều điều kiện, thử nghiệm khác nhau.</w:t>
            </w:r>
          </w:p>
        </w:tc>
      </w:tr>
      <w:tr w:rsidR="00C02782" w:rsidRPr="00C02782" w14:paraId="6A33D978" w14:textId="77777777" w:rsidTr="00C02782">
        <w:tc>
          <w:tcPr>
            <w:tcW w:w="2263" w:type="dxa"/>
            <w:tcMar>
              <w:top w:w="60" w:type="dxa"/>
              <w:left w:w="90" w:type="dxa"/>
              <w:bottom w:w="60" w:type="dxa"/>
              <w:right w:w="90" w:type="dxa"/>
            </w:tcMar>
            <w:vAlign w:val="center"/>
          </w:tcPr>
          <w:p w14:paraId="365899D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3. Phương pháp phân tích/mức độ hoàn thiện kỹ thuật</w:t>
            </w:r>
          </w:p>
        </w:tc>
        <w:tc>
          <w:tcPr>
            <w:tcW w:w="772" w:type="dxa"/>
            <w:tcMar>
              <w:top w:w="60" w:type="dxa"/>
              <w:left w:w="90" w:type="dxa"/>
              <w:bottom w:w="60" w:type="dxa"/>
              <w:right w:w="90" w:type="dxa"/>
            </w:tcMar>
            <w:vAlign w:val="center"/>
          </w:tcPr>
          <w:p w14:paraId="00119024"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3CD364CF"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Áp dụng phù hợp phương pháp toán học, thống kê trong phân tích dữ liệu.</w:t>
            </w:r>
          </w:p>
        </w:tc>
        <w:tc>
          <w:tcPr>
            <w:tcW w:w="2977" w:type="dxa"/>
            <w:tcMar>
              <w:top w:w="60" w:type="dxa"/>
              <w:left w:w="90" w:type="dxa"/>
              <w:bottom w:w="60" w:type="dxa"/>
              <w:right w:w="90" w:type="dxa"/>
            </w:tcMar>
            <w:vAlign w:val="center"/>
          </w:tcPr>
          <w:p w14:paraId="14CF27BA"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Thể hiện kỹ năng kỹ thuật và mức độ hoàn thiện của nguyên mẫu/mô hình.</w:t>
            </w:r>
          </w:p>
        </w:tc>
      </w:tr>
      <w:tr w:rsidR="00C02782" w:rsidRPr="00C02782" w14:paraId="692F5DDE" w14:textId="77777777" w:rsidTr="00C02782">
        <w:tc>
          <w:tcPr>
            <w:tcW w:w="2263" w:type="dxa"/>
            <w:tcMar>
              <w:top w:w="60" w:type="dxa"/>
              <w:left w:w="90" w:type="dxa"/>
              <w:bottom w:w="60" w:type="dxa"/>
              <w:right w:w="90" w:type="dxa"/>
            </w:tcMar>
            <w:vAlign w:val="center"/>
          </w:tcPr>
          <w:p w14:paraId="622AB4B2"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lastRenderedPageBreak/>
              <w:t>4. Đầy đủ dữ liệu, minh chứng quá trình</w:t>
            </w:r>
          </w:p>
        </w:tc>
        <w:tc>
          <w:tcPr>
            <w:tcW w:w="772" w:type="dxa"/>
            <w:tcMar>
              <w:top w:w="60" w:type="dxa"/>
              <w:left w:w="90" w:type="dxa"/>
              <w:bottom w:w="60" w:type="dxa"/>
              <w:right w:w="90" w:type="dxa"/>
            </w:tcMar>
            <w:vAlign w:val="center"/>
          </w:tcPr>
          <w:p w14:paraId="1B630448"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40A7FC0C"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Đủ dữ liệu hỗ trợ diễn giải, kết luận; nhật ký nghiên cứu, dữ liệu gốc theo Điều 14 Quy chế này là căn cứ đối chiếu mức độ trung thực, liên tục của quá trình thực hiện.</w:t>
            </w:r>
          </w:p>
        </w:tc>
        <w:tc>
          <w:tcPr>
            <w:tcW w:w="2977" w:type="dxa"/>
            <w:tcMar>
              <w:top w:w="60" w:type="dxa"/>
              <w:left w:w="90" w:type="dxa"/>
              <w:bottom w:w="60" w:type="dxa"/>
              <w:right w:w="90" w:type="dxa"/>
            </w:tcMar>
            <w:vAlign w:val="center"/>
          </w:tcPr>
          <w:p w14:paraId="077D338D"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Đủ dữ liệu thử nghiệm hỗ trợ kết luận về giải pháp; nhật ký nghiên cứu, dữ liệu gốc theo Điều 14 Quy chế này là căn cứ đối chiếu mức độ trung thực, liên tục của quá trình thực hiện.</w:t>
            </w:r>
          </w:p>
        </w:tc>
      </w:tr>
      <w:tr w:rsidR="00C02782" w:rsidRPr="00C02782" w14:paraId="4A3DB23F" w14:textId="77777777" w:rsidTr="00C02782">
        <w:tc>
          <w:tcPr>
            <w:tcW w:w="9209" w:type="dxa"/>
            <w:gridSpan w:val="4"/>
            <w:tcMar>
              <w:top w:w="60" w:type="dxa"/>
              <w:left w:w="90" w:type="dxa"/>
              <w:bottom w:w="60" w:type="dxa"/>
              <w:right w:w="90" w:type="dxa"/>
            </w:tcMar>
            <w:vAlign w:val="center"/>
          </w:tcPr>
          <w:p w14:paraId="59310FF3" w14:textId="77777777" w:rsidR="00C02782" w:rsidRPr="00C02782" w:rsidRDefault="00C02782" w:rsidP="000C257D">
            <w:pPr>
              <w:spacing w:after="20" w:line="250" w:lineRule="auto"/>
              <w:rPr>
                <w:color w:val="000000" w:themeColor="text1"/>
                <w:sz w:val="26"/>
                <w:szCs w:val="26"/>
              </w:rPr>
            </w:pPr>
            <w:r w:rsidRPr="00C02782">
              <w:rPr>
                <w:b/>
                <w:bCs/>
                <w:color w:val="000000" w:themeColor="text1"/>
                <w:sz w:val="26"/>
                <w:szCs w:val="26"/>
              </w:rPr>
              <w:t>IV. Tính sáng tạo và tác động tiềm năng (20 điểm)</w:t>
            </w:r>
          </w:p>
        </w:tc>
      </w:tr>
      <w:tr w:rsidR="00C02782" w:rsidRPr="00C02782" w14:paraId="1D658703" w14:textId="77777777" w:rsidTr="00C02782">
        <w:tc>
          <w:tcPr>
            <w:tcW w:w="2263" w:type="dxa"/>
            <w:tcMar>
              <w:top w:w="60" w:type="dxa"/>
              <w:left w:w="90" w:type="dxa"/>
              <w:bottom w:w="60" w:type="dxa"/>
              <w:right w:w="90" w:type="dxa"/>
            </w:tcMar>
            <w:vAlign w:val="center"/>
          </w:tcPr>
          <w:p w14:paraId="3BEBF3FA"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1. Tính mới của ý tưởng</w:t>
            </w:r>
          </w:p>
        </w:tc>
        <w:tc>
          <w:tcPr>
            <w:tcW w:w="772" w:type="dxa"/>
            <w:tcMar>
              <w:top w:w="60" w:type="dxa"/>
              <w:left w:w="90" w:type="dxa"/>
              <w:bottom w:w="60" w:type="dxa"/>
              <w:right w:w="90" w:type="dxa"/>
            </w:tcMar>
            <w:vAlign w:val="center"/>
          </w:tcPr>
          <w:p w14:paraId="65FB9689"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7FCAE201"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thể hiện tính mới trong cách đặt vấn đề, cách tiếp cận so với các nghiên cứu, giải pháp đã có.</w:t>
            </w:r>
          </w:p>
        </w:tc>
        <w:tc>
          <w:tcPr>
            <w:tcW w:w="2977" w:type="dxa"/>
            <w:tcMar>
              <w:top w:w="60" w:type="dxa"/>
              <w:left w:w="90" w:type="dxa"/>
              <w:bottom w:w="60" w:type="dxa"/>
              <w:right w:w="90" w:type="dxa"/>
            </w:tcMar>
            <w:vAlign w:val="center"/>
          </w:tcPr>
          <w:p w14:paraId="254D3135"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thể hiện tính mới trong cách đặt vấn đề, cách tiếp cận so với các nghiên cứu, giải pháp đã có.</w:t>
            </w:r>
          </w:p>
        </w:tc>
      </w:tr>
      <w:tr w:rsidR="00C02782" w:rsidRPr="00C02782" w14:paraId="2D57CC8E" w14:textId="77777777" w:rsidTr="00C02782">
        <w:tc>
          <w:tcPr>
            <w:tcW w:w="2263" w:type="dxa"/>
            <w:tcMar>
              <w:top w:w="60" w:type="dxa"/>
              <w:left w:w="90" w:type="dxa"/>
              <w:bottom w:w="60" w:type="dxa"/>
              <w:right w:w="90" w:type="dxa"/>
            </w:tcMar>
            <w:vAlign w:val="center"/>
          </w:tcPr>
          <w:p w14:paraId="5AF93FE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2. Tính sáng tạo trong thực hiện</w:t>
            </w:r>
          </w:p>
        </w:tc>
        <w:tc>
          <w:tcPr>
            <w:tcW w:w="772" w:type="dxa"/>
            <w:tcMar>
              <w:top w:w="60" w:type="dxa"/>
              <w:left w:w="90" w:type="dxa"/>
              <w:bottom w:w="60" w:type="dxa"/>
              <w:right w:w="90" w:type="dxa"/>
            </w:tcMar>
            <w:vAlign w:val="center"/>
          </w:tcPr>
          <w:p w14:paraId="271460A6"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53CC85D6"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thể hiện tính sáng tạo trong thiết kế, phương pháp hoặc quá trình thực hiện nghiên cứu.</w:t>
            </w:r>
          </w:p>
        </w:tc>
        <w:tc>
          <w:tcPr>
            <w:tcW w:w="2977" w:type="dxa"/>
            <w:tcMar>
              <w:top w:w="60" w:type="dxa"/>
              <w:left w:w="90" w:type="dxa"/>
              <w:bottom w:w="60" w:type="dxa"/>
              <w:right w:w="90" w:type="dxa"/>
            </w:tcMar>
            <w:vAlign w:val="center"/>
          </w:tcPr>
          <w:p w14:paraId="6837522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thể hiện tính sáng tạo trong thiết kế, phương pháp hoặc quá trình thực hiện, chế tạo.</w:t>
            </w:r>
          </w:p>
        </w:tc>
      </w:tr>
      <w:tr w:rsidR="00C02782" w:rsidRPr="00C02782" w14:paraId="67322F47" w14:textId="77777777" w:rsidTr="00C02782">
        <w:tc>
          <w:tcPr>
            <w:tcW w:w="2263" w:type="dxa"/>
            <w:tcMar>
              <w:top w:w="60" w:type="dxa"/>
              <w:left w:w="90" w:type="dxa"/>
              <w:bottom w:w="60" w:type="dxa"/>
              <w:right w:w="90" w:type="dxa"/>
            </w:tcMar>
            <w:vAlign w:val="center"/>
          </w:tcPr>
          <w:p w14:paraId="1C4F3F6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3. Tác động trong lĩnh vực nghiên cứu</w:t>
            </w:r>
          </w:p>
        </w:tc>
        <w:tc>
          <w:tcPr>
            <w:tcW w:w="772" w:type="dxa"/>
            <w:tcMar>
              <w:top w:w="60" w:type="dxa"/>
              <w:left w:w="90" w:type="dxa"/>
              <w:bottom w:w="60" w:type="dxa"/>
              <w:right w:w="90" w:type="dxa"/>
            </w:tcMar>
            <w:vAlign w:val="center"/>
          </w:tcPr>
          <w:p w14:paraId="273F0CE9"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38DF019D"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có tác động hoặc tiềm năng tác động đối với lĩnh vực nghiên cứu.</w:t>
            </w:r>
          </w:p>
        </w:tc>
        <w:tc>
          <w:tcPr>
            <w:tcW w:w="2977" w:type="dxa"/>
            <w:tcMar>
              <w:top w:w="60" w:type="dxa"/>
              <w:left w:w="90" w:type="dxa"/>
              <w:bottom w:w="60" w:type="dxa"/>
              <w:right w:w="90" w:type="dxa"/>
            </w:tcMar>
            <w:vAlign w:val="center"/>
          </w:tcPr>
          <w:p w14:paraId="5E4DBC0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có tác động hoặc tiềm năng tác động đối với lĩnh vực kỹ thuật liên quan.</w:t>
            </w:r>
          </w:p>
        </w:tc>
      </w:tr>
      <w:tr w:rsidR="00C02782" w:rsidRPr="00C02782" w14:paraId="2C09CF56" w14:textId="77777777" w:rsidTr="00C02782">
        <w:tc>
          <w:tcPr>
            <w:tcW w:w="2263" w:type="dxa"/>
            <w:tcMar>
              <w:top w:w="60" w:type="dxa"/>
              <w:left w:w="90" w:type="dxa"/>
              <w:bottom w:w="60" w:type="dxa"/>
              <w:right w:w="90" w:type="dxa"/>
            </w:tcMar>
            <w:vAlign w:val="center"/>
          </w:tcPr>
          <w:p w14:paraId="0B4CAA7C"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4. Tác động kinh tế - xã hội</w:t>
            </w:r>
          </w:p>
        </w:tc>
        <w:tc>
          <w:tcPr>
            <w:tcW w:w="772" w:type="dxa"/>
            <w:tcMar>
              <w:top w:w="60" w:type="dxa"/>
              <w:left w:w="90" w:type="dxa"/>
              <w:bottom w:w="60" w:type="dxa"/>
              <w:right w:w="90" w:type="dxa"/>
            </w:tcMar>
            <w:vAlign w:val="center"/>
          </w:tcPr>
          <w:p w14:paraId="17351BE9"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6B7C6A58"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có tác động hoặc tiềm năng tác động đối với công nghệ, kinh tế, môi trường, xã hội.</w:t>
            </w:r>
          </w:p>
        </w:tc>
        <w:tc>
          <w:tcPr>
            <w:tcW w:w="2977" w:type="dxa"/>
            <w:tcMar>
              <w:top w:w="60" w:type="dxa"/>
              <w:left w:w="90" w:type="dxa"/>
              <w:bottom w:w="60" w:type="dxa"/>
              <w:right w:w="90" w:type="dxa"/>
            </w:tcMar>
            <w:vAlign w:val="center"/>
          </w:tcPr>
          <w:p w14:paraId="1F08B4B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Dự án có tác động hoặc tiềm năng tác động đối với công nghệ, kinh tế, môi trường, xã hội.</w:t>
            </w:r>
          </w:p>
        </w:tc>
      </w:tr>
      <w:tr w:rsidR="00C02782" w:rsidRPr="00C02782" w14:paraId="05382740" w14:textId="77777777" w:rsidTr="00C02782">
        <w:tc>
          <w:tcPr>
            <w:tcW w:w="9209" w:type="dxa"/>
            <w:gridSpan w:val="4"/>
            <w:tcMar>
              <w:top w:w="60" w:type="dxa"/>
              <w:left w:w="90" w:type="dxa"/>
              <w:bottom w:w="60" w:type="dxa"/>
              <w:right w:w="90" w:type="dxa"/>
            </w:tcMar>
            <w:vAlign w:val="center"/>
          </w:tcPr>
          <w:p w14:paraId="0F63DD94" w14:textId="77777777" w:rsidR="00C02782" w:rsidRPr="00C02782" w:rsidRDefault="00C02782" w:rsidP="000C257D">
            <w:pPr>
              <w:spacing w:after="20" w:line="250" w:lineRule="auto"/>
              <w:rPr>
                <w:color w:val="000000" w:themeColor="text1"/>
                <w:sz w:val="26"/>
                <w:szCs w:val="26"/>
              </w:rPr>
            </w:pPr>
            <w:r w:rsidRPr="00C02782">
              <w:rPr>
                <w:b/>
                <w:bCs/>
                <w:color w:val="000000" w:themeColor="text1"/>
                <w:sz w:val="26"/>
                <w:szCs w:val="26"/>
              </w:rPr>
              <w:t>V. Trình bày (35 điểm)</w:t>
            </w:r>
          </w:p>
        </w:tc>
      </w:tr>
      <w:tr w:rsidR="00C02782" w:rsidRPr="00C02782" w14:paraId="158A2426" w14:textId="77777777" w:rsidTr="00C02782">
        <w:tc>
          <w:tcPr>
            <w:tcW w:w="2263" w:type="dxa"/>
            <w:tcMar>
              <w:top w:w="60" w:type="dxa"/>
              <w:left w:w="90" w:type="dxa"/>
              <w:bottom w:w="60" w:type="dxa"/>
              <w:right w:w="90" w:type="dxa"/>
            </w:tcMar>
            <w:vAlign w:val="center"/>
          </w:tcPr>
          <w:p w14:paraId="5646635E"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1. Bố cục, hình thức áp phích/poster</w:t>
            </w:r>
          </w:p>
        </w:tc>
        <w:tc>
          <w:tcPr>
            <w:tcW w:w="772" w:type="dxa"/>
            <w:tcMar>
              <w:top w:w="60" w:type="dxa"/>
              <w:left w:w="90" w:type="dxa"/>
              <w:bottom w:w="60" w:type="dxa"/>
              <w:right w:w="90" w:type="dxa"/>
            </w:tcMar>
            <w:vAlign w:val="center"/>
          </w:tcPr>
          <w:p w14:paraId="655EF1ED"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0673F6B4"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Bố trí nội dung logic; hình ảnh, đồ thị, chú thích rõ ràng.</w:t>
            </w:r>
          </w:p>
        </w:tc>
        <w:tc>
          <w:tcPr>
            <w:tcW w:w="2977" w:type="dxa"/>
            <w:tcMar>
              <w:top w:w="60" w:type="dxa"/>
              <w:left w:w="90" w:type="dxa"/>
              <w:bottom w:w="60" w:type="dxa"/>
              <w:right w:w="90" w:type="dxa"/>
            </w:tcMar>
            <w:vAlign w:val="center"/>
          </w:tcPr>
          <w:p w14:paraId="29CC168F"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Bố trí nội dung logic; hình ảnh, đồ thị, chú thích rõ ràng.</w:t>
            </w:r>
          </w:p>
        </w:tc>
      </w:tr>
      <w:tr w:rsidR="00C02782" w:rsidRPr="00C02782" w14:paraId="17926FF8" w14:textId="77777777" w:rsidTr="00C02782">
        <w:tc>
          <w:tcPr>
            <w:tcW w:w="2263" w:type="dxa"/>
            <w:tcMar>
              <w:top w:w="60" w:type="dxa"/>
              <w:left w:w="90" w:type="dxa"/>
              <w:bottom w:w="60" w:type="dxa"/>
              <w:right w:w="90" w:type="dxa"/>
            </w:tcMar>
            <w:vAlign w:val="center"/>
          </w:tcPr>
          <w:p w14:paraId="6F99821F"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2. Minh chứng trên áp phích/poster</w:t>
            </w:r>
          </w:p>
        </w:tc>
        <w:tc>
          <w:tcPr>
            <w:tcW w:w="772" w:type="dxa"/>
            <w:tcMar>
              <w:top w:w="60" w:type="dxa"/>
              <w:left w:w="90" w:type="dxa"/>
              <w:bottom w:w="60" w:type="dxa"/>
              <w:right w:w="90" w:type="dxa"/>
            </w:tcMar>
            <w:vAlign w:val="center"/>
          </w:tcPr>
          <w:p w14:paraId="6F21C191"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7D0BBD8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Tài liệu, minh chứng quá trình nghiên cứu được trình bày đầy đủ trên áp phích/poster.</w:t>
            </w:r>
          </w:p>
        </w:tc>
        <w:tc>
          <w:tcPr>
            <w:tcW w:w="2977" w:type="dxa"/>
            <w:tcMar>
              <w:top w:w="60" w:type="dxa"/>
              <w:left w:w="90" w:type="dxa"/>
              <w:bottom w:w="60" w:type="dxa"/>
              <w:right w:w="90" w:type="dxa"/>
            </w:tcMar>
            <w:vAlign w:val="center"/>
          </w:tcPr>
          <w:p w14:paraId="4671D202"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Tài liệu, minh chứng quá trình chế tạo, thử nghiệm được trình bày đầy đủ trên áp phích/poster.</w:t>
            </w:r>
          </w:p>
        </w:tc>
      </w:tr>
      <w:tr w:rsidR="00C02782" w:rsidRPr="00C02782" w14:paraId="4AF48FFE" w14:textId="77777777" w:rsidTr="00C02782">
        <w:tc>
          <w:tcPr>
            <w:tcW w:w="2263" w:type="dxa"/>
            <w:tcMar>
              <w:top w:w="60" w:type="dxa"/>
              <w:left w:w="90" w:type="dxa"/>
              <w:bottom w:w="60" w:type="dxa"/>
              <w:right w:w="90" w:type="dxa"/>
            </w:tcMar>
            <w:vAlign w:val="center"/>
          </w:tcPr>
          <w:p w14:paraId="67DE3D61"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3. Kỹ năng trả lời phỏng vấn</w:t>
            </w:r>
          </w:p>
        </w:tc>
        <w:tc>
          <w:tcPr>
            <w:tcW w:w="772" w:type="dxa"/>
            <w:tcMar>
              <w:top w:w="60" w:type="dxa"/>
              <w:left w:w="90" w:type="dxa"/>
              <w:bottom w:w="60" w:type="dxa"/>
              <w:right w:w="90" w:type="dxa"/>
            </w:tcMar>
            <w:vAlign w:val="center"/>
          </w:tcPr>
          <w:p w14:paraId="53E5AC98"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2D1B34D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Trả lời rõ ràng, ngắn gọn, sâu sắc các câu hỏi của giám khảo.</w:t>
            </w:r>
          </w:p>
        </w:tc>
        <w:tc>
          <w:tcPr>
            <w:tcW w:w="2977" w:type="dxa"/>
            <w:tcMar>
              <w:top w:w="60" w:type="dxa"/>
              <w:left w:w="90" w:type="dxa"/>
              <w:bottom w:w="60" w:type="dxa"/>
              <w:right w:w="90" w:type="dxa"/>
            </w:tcMar>
            <w:vAlign w:val="center"/>
          </w:tcPr>
          <w:p w14:paraId="07C5D121"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Trả lời rõ ràng, ngắn gọn, sâu sắc các câu hỏi của giám khảo.</w:t>
            </w:r>
          </w:p>
        </w:tc>
      </w:tr>
      <w:tr w:rsidR="00C02782" w:rsidRPr="00C02782" w14:paraId="4C0A5142" w14:textId="77777777" w:rsidTr="00C02782">
        <w:tc>
          <w:tcPr>
            <w:tcW w:w="2263" w:type="dxa"/>
            <w:tcMar>
              <w:top w:w="60" w:type="dxa"/>
              <w:left w:w="90" w:type="dxa"/>
              <w:bottom w:w="60" w:type="dxa"/>
              <w:right w:w="90" w:type="dxa"/>
            </w:tcMar>
            <w:vAlign w:val="center"/>
          </w:tcPr>
          <w:p w14:paraId="2344D52C"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4. Hiểu biết cơ sở khoa học/kỹ thuật</w:t>
            </w:r>
          </w:p>
        </w:tc>
        <w:tc>
          <w:tcPr>
            <w:tcW w:w="772" w:type="dxa"/>
            <w:tcMar>
              <w:top w:w="60" w:type="dxa"/>
              <w:left w:w="90" w:type="dxa"/>
              <w:bottom w:w="60" w:type="dxa"/>
              <w:right w:w="90" w:type="dxa"/>
            </w:tcMar>
            <w:vAlign w:val="center"/>
          </w:tcPr>
          <w:p w14:paraId="22B2C0EB"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3E9FB93C"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Hiểu biết vững về cơ sở khoa học liên quan đến dự án.</w:t>
            </w:r>
          </w:p>
        </w:tc>
        <w:tc>
          <w:tcPr>
            <w:tcW w:w="2977" w:type="dxa"/>
            <w:tcMar>
              <w:top w:w="60" w:type="dxa"/>
              <w:left w:w="90" w:type="dxa"/>
              <w:bottom w:w="60" w:type="dxa"/>
              <w:right w:w="90" w:type="dxa"/>
            </w:tcMar>
            <w:vAlign w:val="center"/>
          </w:tcPr>
          <w:p w14:paraId="1091FFAD"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Hiểu biết vững về cơ sở kỹ thuật liên quan đến dự án.</w:t>
            </w:r>
          </w:p>
        </w:tc>
      </w:tr>
      <w:tr w:rsidR="00C02782" w:rsidRPr="00C02782" w14:paraId="3C03D971" w14:textId="77777777" w:rsidTr="00C02782">
        <w:tc>
          <w:tcPr>
            <w:tcW w:w="2263" w:type="dxa"/>
            <w:tcMar>
              <w:top w:w="60" w:type="dxa"/>
              <w:left w:w="90" w:type="dxa"/>
              <w:bottom w:w="60" w:type="dxa"/>
              <w:right w:w="90" w:type="dxa"/>
            </w:tcMar>
            <w:vAlign w:val="center"/>
          </w:tcPr>
          <w:p w14:paraId="42DC40C5"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5. Diễn giải kết quả, giới hạn</w:t>
            </w:r>
          </w:p>
        </w:tc>
        <w:tc>
          <w:tcPr>
            <w:tcW w:w="772" w:type="dxa"/>
            <w:tcMar>
              <w:top w:w="60" w:type="dxa"/>
              <w:left w:w="90" w:type="dxa"/>
              <w:bottom w:w="60" w:type="dxa"/>
              <w:right w:w="90" w:type="dxa"/>
            </w:tcMar>
            <w:vAlign w:val="center"/>
          </w:tcPr>
          <w:p w14:paraId="16AD9FB5"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1DD4A9F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Hiểu rõ cách diễn giải, ý nghĩa và giới hạn của kết quả, kết luận nghiên cứu.</w:t>
            </w:r>
          </w:p>
        </w:tc>
        <w:tc>
          <w:tcPr>
            <w:tcW w:w="2977" w:type="dxa"/>
            <w:tcMar>
              <w:top w:w="60" w:type="dxa"/>
              <w:left w:w="90" w:type="dxa"/>
              <w:bottom w:w="60" w:type="dxa"/>
              <w:right w:w="90" w:type="dxa"/>
            </w:tcMar>
            <w:vAlign w:val="center"/>
          </w:tcPr>
          <w:p w14:paraId="0288251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Hiểu rõ ý nghĩa và giới hạn của giải pháp, kết quả thử nghiệm.</w:t>
            </w:r>
          </w:p>
        </w:tc>
      </w:tr>
      <w:tr w:rsidR="00C02782" w:rsidRPr="00C02782" w14:paraId="7721F429" w14:textId="77777777" w:rsidTr="00C02782">
        <w:tc>
          <w:tcPr>
            <w:tcW w:w="2263" w:type="dxa"/>
            <w:tcMar>
              <w:top w:w="60" w:type="dxa"/>
              <w:left w:w="90" w:type="dxa"/>
              <w:bottom w:w="60" w:type="dxa"/>
              <w:right w:w="90" w:type="dxa"/>
            </w:tcMar>
            <w:vAlign w:val="center"/>
          </w:tcPr>
          <w:p w14:paraId="7AB9A814"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lastRenderedPageBreak/>
              <w:t>6. Mức độ độc lập, tác động của dự án</w:t>
            </w:r>
          </w:p>
        </w:tc>
        <w:tc>
          <w:tcPr>
            <w:tcW w:w="772" w:type="dxa"/>
            <w:tcMar>
              <w:top w:w="60" w:type="dxa"/>
              <w:left w:w="90" w:type="dxa"/>
              <w:bottom w:w="60" w:type="dxa"/>
              <w:right w:w="90" w:type="dxa"/>
            </w:tcMar>
            <w:vAlign w:val="center"/>
          </w:tcPr>
          <w:p w14:paraId="3F720AEA"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15199265"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Thể hiện mức độ độc lập, thực chất trong quá trình thực hiện dự án (đối chiếu nhật ký nghiên cứu); nhận thức về tác động tiềm năng của dự án.</w:t>
            </w:r>
          </w:p>
        </w:tc>
        <w:tc>
          <w:tcPr>
            <w:tcW w:w="2977" w:type="dxa"/>
            <w:tcMar>
              <w:top w:w="60" w:type="dxa"/>
              <w:left w:w="90" w:type="dxa"/>
              <w:bottom w:w="60" w:type="dxa"/>
              <w:right w:w="90" w:type="dxa"/>
            </w:tcMar>
            <w:vAlign w:val="center"/>
          </w:tcPr>
          <w:p w14:paraId="1111E8F0"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Thể hiện mức độ độc lập, thực chất trong quá trình thực hiện dự án (đối chiếu nhật ký nghiên cứu); nhận thức về tác động tiềm năng của dự án.</w:t>
            </w:r>
          </w:p>
        </w:tc>
      </w:tr>
      <w:tr w:rsidR="00C02782" w:rsidRPr="00C02782" w14:paraId="4C6998C2" w14:textId="77777777" w:rsidTr="00C02782">
        <w:tc>
          <w:tcPr>
            <w:tcW w:w="2263" w:type="dxa"/>
            <w:tcMar>
              <w:top w:w="60" w:type="dxa"/>
              <w:left w:w="90" w:type="dxa"/>
              <w:bottom w:w="60" w:type="dxa"/>
              <w:right w:w="90" w:type="dxa"/>
            </w:tcMar>
            <w:vAlign w:val="center"/>
          </w:tcPr>
          <w:p w14:paraId="6CA0B2D7"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7. Ý tưởng tiếp theo và đóng góp của thành viên</w:t>
            </w:r>
          </w:p>
        </w:tc>
        <w:tc>
          <w:tcPr>
            <w:tcW w:w="772" w:type="dxa"/>
            <w:tcMar>
              <w:top w:w="60" w:type="dxa"/>
              <w:left w:w="90" w:type="dxa"/>
              <w:bottom w:w="60" w:type="dxa"/>
              <w:right w:w="90" w:type="dxa"/>
            </w:tcMar>
            <w:vAlign w:val="center"/>
          </w:tcPr>
          <w:p w14:paraId="6BF9DC50" w14:textId="77777777" w:rsidR="00C02782" w:rsidRPr="00C02782" w:rsidRDefault="00C02782" w:rsidP="000C257D">
            <w:pPr>
              <w:spacing w:after="20" w:line="250" w:lineRule="auto"/>
              <w:jc w:val="center"/>
              <w:rPr>
                <w:color w:val="000000" w:themeColor="text1"/>
                <w:sz w:val="26"/>
                <w:szCs w:val="26"/>
              </w:rPr>
            </w:pPr>
            <w:r w:rsidRPr="00C02782">
              <w:rPr>
                <w:color w:val="000000" w:themeColor="text1"/>
                <w:sz w:val="26"/>
                <w:szCs w:val="26"/>
              </w:rPr>
              <w:t>5</w:t>
            </w:r>
          </w:p>
        </w:tc>
        <w:tc>
          <w:tcPr>
            <w:tcW w:w="3197" w:type="dxa"/>
            <w:tcMar>
              <w:top w:w="60" w:type="dxa"/>
              <w:left w:w="90" w:type="dxa"/>
              <w:bottom w:w="60" w:type="dxa"/>
              <w:right w:w="90" w:type="dxa"/>
            </w:tcMar>
            <w:vAlign w:val="center"/>
          </w:tcPr>
          <w:p w14:paraId="6B85CCCA"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Chất lượng ý tưởng nghiên cứu tiếp theo; đối với dự án tập thể, thể hiện đóng góp và hiểu biết đầy đủ của từng thành viên.</w:t>
            </w:r>
          </w:p>
        </w:tc>
        <w:tc>
          <w:tcPr>
            <w:tcW w:w="2977" w:type="dxa"/>
            <w:tcMar>
              <w:top w:w="60" w:type="dxa"/>
              <w:left w:w="90" w:type="dxa"/>
              <w:bottom w:w="60" w:type="dxa"/>
              <w:right w:w="90" w:type="dxa"/>
            </w:tcMar>
            <w:vAlign w:val="center"/>
          </w:tcPr>
          <w:p w14:paraId="070E5899" w14:textId="77777777" w:rsidR="00C02782" w:rsidRPr="00C02782" w:rsidRDefault="00C02782" w:rsidP="000C257D">
            <w:pPr>
              <w:spacing w:after="20" w:line="250" w:lineRule="auto"/>
              <w:jc w:val="both"/>
              <w:rPr>
                <w:color w:val="000000" w:themeColor="text1"/>
                <w:sz w:val="26"/>
                <w:szCs w:val="26"/>
              </w:rPr>
            </w:pPr>
            <w:r w:rsidRPr="00C02782">
              <w:rPr>
                <w:color w:val="000000" w:themeColor="text1"/>
                <w:sz w:val="26"/>
                <w:szCs w:val="26"/>
              </w:rPr>
              <w:t>Chất lượng ý tưởng phát triển, hoàn thiện giải pháp tiếp theo; đối với dự án tập thể, thể hiện đóng góp và hiểu biết đầy đủ của từng thành viên.</w:t>
            </w:r>
          </w:p>
        </w:tc>
      </w:tr>
    </w:tbl>
    <w:p w14:paraId="11C098B1" w14:textId="77777777" w:rsidR="00816167" w:rsidRPr="00C02782" w:rsidRDefault="00816167" w:rsidP="002E4484">
      <w:pPr>
        <w:spacing w:after="100" w:line="300" w:lineRule="auto"/>
        <w:jc w:val="both"/>
        <w:rPr>
          <w:color w:val="000000" w:themeColor="text1"/>
          <w:sz w:val="21"/>
          <w:szCs w:val="21"/>
        </w:rPr>
      </w:pPr>
    </w:p>
    <w:p w14:paraId="25B8747D" w14:textId="77777777" w:rsidR="00C02782" w:rsidRPr="00C02782" w:rsidRDefault="00C02782" w:rsidP="00C02782">
      <w:pPr>
        <w:spacing w:before="120" w:after="120"/>
        <w:jc w:val="both"/>
        <w:rPr>
          <w:i/>
          <w:iCs/>
          <w:color w:val="000000" w:themeColor="text1"/>
          <w:sz w:val="26"/>
          <w:szCs w:val="26"/>
        </w:rPr>
      </w:pPr>
      <w:r w:rsidRPr="00C02782">
        <w:rPr>
          <w:i/>
          <w:iCs/>
          <w:color w:val="000000" w:themeColor="text1"/>
          <w:sz w:val="26"/>
          <w:szCs w:val="26"/>
        </w:rPr>
        <w:t>Ghi chú: Mỗi tiêu chí chi tiết quy định tại Phụ lục này có thang điểm tối đa 05 (năm) điểm; giám khảo cho điểm nguyên trong khoảng từ 0 đến 5 đối với từng tiêu chí, tổng điểm của dự án dự thi (thang điểm 100) được tính theo quy định tại Điều 20, Điều 21 Quy chế này.</w:t>
      </w:r>
    </w:p>
    <w:p w14:paraId="3E823F05" w14:textId="77777777" w:rsidR="00C02782" w:rsidRPr="00C02782" w:rsidRDefault="00C02782" w:rsidP="002E4484">
      <w:pPr>
        <w:spacing w:after="100" w:line="300" w:lineRule="auto"/>
        <w:jc w:val="both"/>
        <w:rPr>
          <w:color w:val="000000" w:themeColor="text1"/>
          <w:sz w:val="21"/>
          <w:szCs w:val="21"/>
        </w:rPr>
      </w:pPr>
    </w:p>
    <w:sectPr w:rsidR="00C02782" w:rsidRPr="00C02782" w:rsidSect="00FA323D">
      <w:pgSz w:w="11907" w:h="16840"/>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AD3E" w14:textId="77777777" w:rsidR="00DC0770" w:rsidRDefault="00DC0770" w:rsidP="002A597E">
      <w:r>
        <w:separator/>
      </w:r>
    </w:p>
  </w:endnote>
  <w:endnote w:type="continuationSeparator" w:id="0">
    <w:p w14:paraId="6733725C" w14:textId="77777777" w:rsidR="00DC0770" w:rsidRDefault="00DC0770" w:rsidP="002A5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9FC8" w14:textId="77777777" w:rsidR="00883790" w:rsidRDefault="00883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C3CD" w14:textId="77777777" w:rsidR="00883790" w:rsidRDefault="00883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C63D" w14:textId="77777777" w:rsidR="00883790" w:rsidRDefault="0088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2C47" w14:textId="77777777" w:rsidR="00DC0770" w:rsidRDefault="00DC0770" w:rsidP="002A597E">
      <w:r>
        <w:separator/>
      </w:r>
    </w:p>
  </w:footnote>
  <w:footnote w:type="continuationSeparator" w:id="0">
    <w:p w14:paraId="47905E39" w14:textId="77777777" w:rsidR="00DC0770" w:rsidRDefault="00DC0770" w:rsidP="002A5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68F5" w14:textId="77777777" w:rsidR="00CC034E" w:rsidRDefault="00000000" w:rsidP="006D16DD">
    <w:pPr>
      <w:pStyle w:val="Header"/>
      <w:framePr w:wrap="none" w:vAnchor="text" w:hAnchor="margin" w:xAlign="center" w:y="1"/>
      <w:rPr>
        <w:rStyle w:val="PageNumber"/>
      </w:rPr>
    </w:pPr>
    <w:r>
      <w:rPr>
        <w:noProof/>
      </w:rPr>
      <w:pict w14:anchorId="2EFECD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817985" o:spid="_x0000_s1027" type="#_x0000_t136" alt="" style="position:absolute;margin-left:0;margin-top:0;width:511.6pt;height:127.9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Ự THẢO"/>
          <w10:wrap anchorx="margin" anchory="margin"/>
        </v:shape>
      </w:pict>
    </w:r>
    <w:sdt>
      <w:sdtPr>
        <w:rPr>
          <w:rStyle w:val="PageNumber"/>
        </w:rPr>
        <w:id w:val="72932346"/>
        <w:docPartObj>
          <w:docPartGallery w:val="Page Numbers (Top of Page)"/>
          <w:docPartUnique/>
        </w:docPartObj>
      </w:sdtPr>
      <w:sdtContent>
        <w:r w:rsidR="00CC034E">
          <w:rPr>
            <w:rStyle w:val="PageNumber"/>
          </w:rPr>
          <w:fldChar w:fldCharType="begin"/>
        </w:r>
        <w:r w:rsidR="00CC034E">
          <w:rPr>
            <w:rStyle w:val="PageNumber"/>
          </w:rPr>
          <w:instrText xml:space="preserve"> PAGE </w:instrText>
        </w:r>
        <w:r w:rsidR="00CC034E">
          <w:rPr>
            <w:rStyle w:val="PageNumber"/>
          </w:rPr>
          <w:fldChar w:fldCharType="separate"/>
        </w:r>
        <w:r w:rsidR="00CC034E">
          <w:rPr>
            <w:rStyle w:val="PageNumber"/>
            <w:noProof/>
          </w:rPr>
          <w:t>2</w:t>
        </w:r>
        <w:r w:rsidR="00CC034E">
          <w:rPr>
            <w:rStyle w:val="PageNumber"/>
          </w:rPr>
          <w:fldChar w:fldCharType="end"/>
        </w:r>
      </w:sdtContent>
    </w:sdt>
  </w:p>
  <w:p w14:paraId="04BD698E" w14:textId="77777777" w:rsidR="00CC034E" w:rsidRDefault="00CC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C3D3" w14:textId="77777777" w:rsidR="00CC034E" w:rsidRPr="002A597E" w:rsidRDefault="00000000" w:rsidP="002A597E">
    <w:pPr>
      <w:pStyle w:val="Header"/>
      <w:framePr w:w="399" w:h="307" w:hRule="exact" w:wrap="none" w:vAnchor="text" w:hAnchor="margin" w:xAlign="center" w:y="-95"/>
      <w:rPr>
        <w:rStyle w:val="PageNumber"/>
        <w:sz w:val="26"/>
        <w:szCs w:val="26"/>
      </w:rPr>
    </w:pPr>
    <w:r>
      <w:rPr>
        <w:noProof/>
      </w:rPr>
      <w:pict w14:anchorId="11CCB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817986" o:spid="_x0000_s1026" type="#_x0000_t136" alt="" style="position:absolute;margin-left:0;margin-top:0;width:511.6pt;height:127.9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Ự THẢO"/>
          <w10:wrap anchorx="margin" anchory="margin"/>
        </v:shape>
      </w:pict>
    </w:r>
    <w:sdt>
      <w:sdtPr>
        <w:rPr>
          <w:rStyle w:val="PageNumber"/>
        </w:rPr>
        <w:id w:val="1217009884"/>
        <w:docPartObj>
          <w:docPartGallery w:val="Page Numbers (Top of Page)"/>
          <w:docPartUnique/>
        </w:docPartObj>
      </w:sdtPr>
      <w:sdtEndPr>
        <w:rPr>
          <w:rStyle w:val="PageNumber"/>
          <w:sz w:val="26"/>
          <w:szCs w:val="26"/>
        </w:rPr>
      </w:sdtEndPr>
      <w:sdtContent>
        <w:r w:rsidR="00CC034E" w:rsidRPr="002A597E">
          <w:rPr>
            <w:rStyle w:val="PageNumber"/>
            <w:sz w:val="26"/>
            <w:szCs w:val="26"/>
          </w:rPr>
          <w:fldChar w:fldCharType="begin"/>
        </w:r>
        <w:r w:rsidR="00CC034E" w:rsidRPr="002A597E">
          <w:rPr>
            <w:rStyle w:val="PageNumber"/>
            <w:sz w:val="26"/>
            <w:szCs w:val="26"/>
          </w:rPr>
          <w:instrText xml:space="preserve"> PAGE </w:instrText>
        </w:r>
        <w:r w:rsidR="00CC034E" w:rsidRPr="002A597E">
          <w:rPr>
            <w:rStyle w:val="PageNumber"/>
            <w:sz w:val="26"/>
            <w:szCs w:val="26"/>
          </w:rPr>
          <w:fldChar w:fldCharType="separate"/>
        </w:r>
        <w:r w:rsidR="00CC034E" w:rsidRPr="002A597E">
          <w:rPr>
            <w:rStyle w:val="PageNumber"/>
            <w:noProof/>
            <w:sz w:val="26"/>
            <w:szCs w:val="26"/>
          </w:rPr>
          <w:t>2</w:t>
        </w:r>
        <w:r w:rsidR="00CC034E" w:rsidRPr="002A597E">
          <w:rPr>
            <w:rStyle w:val="PageNumber"/>
            <w:sz w:val="26"/>
            <w:szCs w:val="26"/>
          </w:rPr>
          <w:fldChar w:fldCharType="end"/>
        </w:r>
      </w:sdtContent>
    </w:sdt>
  </w:p>
  <w:p w14:paraId="715768F7" w14:textId="77777777" w:rsidR="00CC034E" w:rsidRDefault="00CC0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0ECD" w14:textId="77777777" w:rsidR="00883790" w:rsidRDefault="00000000">
    <w:pPr>
      <w:pStyle w:val="Header"/>
    </w:pPr>
    <w:r>
      <w:rPr>
        <w:noProof/>
      </w:rPr>
      <w:pict w14:anchorId="13C34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817984" o:spid="_x0000_s1025" type="#_x0000_t136" alt="" style="position:absolute;margin-left:0;margin-top:0;width:511.6pt;height:127.9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41C29"/>
    <w:multiLevelType w:val="hybridMultilevel"/>
    <w:tmpl w:val="1A860F5C"/>
    <w:lvl w:ilvl="0" w:tplc="8E9C7674">
      <w:start w:val="1"/>
      <w:numFmt w:val="bullet"/>
      <w:lvlText w:val="●"/>
      <w:lvlJc w:val="left"/>
      <w:pPr>
        <w:ind w:left="720" w:hanging="360"/>
      </w:pPr>
    </w:lvl>
    <w:lvl w:ilvl="1" w:tplc="DFE2A700">
      <w:start w:val="1"/>
      <w:numFmt w:val="bullet"/>
      <w:lvlText w:val="○"/>
      <w:lvlJc w:val="left"/>
      <w:pPr>
        <w:ind w:left="1440" w:hanging="360"/>
      </w:pPr>
    </w:lvl>
    <w:lvl w:ilvl="2" w:tplc="5B6A4982">
      <w:start w:val="1"/>
      <w:numFmt w:val="bullet"/>
      <w:lvlText w:val="■"/>
      <w:lvlJc w:val="left"/>
      <w:pPr>
        <w:ind w:left="2160" w:hanging="360"/>
      </w:pPr>
    </w:lvl>
    <w:lvl w:ilvl="3" w:tplc="565C978C">
      <w:start w:val="1"/>
      <w:numFmt w:val="bullet"/>
      <w:lvlText w:val="●"/>
      <w:lvlJc w:val="left"/>
      <w:pPr>
        <w:ind w:left="2880" w:hanging="360"/>
      </w:pPr>
    </w:lvl>
    <w:lvl w:ilvl="4" w:tplc="7F8E1342">
      <w:start w:val="1"/>
      <w:numFmt w:val="bullet"/>
      <w:lvlText w:val="○"/>
      <w:lvlJc w:val="left"/>
      <w:pPr>
        <w:ind w:left="3600" w:hanging="360"/>
      </w:pPr>
    </w:lvl>
    <w:lvl w:ilvl="5" w:tplc="24461250">
      <w:start w:val="1"/>
      <w:numFmt w:val="bullet"/>
      <w:lvlText w:val="■"/>
      <w:lvlJc w:val="left"/>
      <w:pPr>
        <w:ind w:left="4320" w:hanging="360"/>
      </w:pPr>
    </w:lvl>
    <w:lvl w:ilvl="6" w:tplc="D5D61884">
      <w:start w:val="1"/>
      <w:numFmt w:val="bullet"/>
      <w:lvlText w:val="●"/>
      <w:lvlJc w:val="left"/>
      <w:pPr>
        <w:ind w:left="5040" w:hanging="360"/>
      </w:pPr>
    </w:lvl>
    <w:lvl w:ilvl="7" w:tplc="C2222F2E">
      <w:start w:val="1"/>
      <w:numFmt w:val="bullet"/>
      <w:lvlText w:val="●"/>
      <w:lvlJc w:val="left"/>
      <w:pPr>
        <w:ind w:left="5760" w:hanging="360"/>
      </w:pPr>
    </w:lvl>
    <w:lvl w:ilvl="8" w:tplc="4D82F050">
      <w:start w:val="1"/>
      <w:numFmt w:val="bullet"/>
      <w:lvlText w:val="●"/>
      <w:lvlJc w:val="left"/>
      <w:pPr>
        <w:ind w:left="6480" w:hanging="360"/>
      </w:pPr>
    </w:lvl>
  </w:abstractNum>
  <w:abstractNum w:abstractNumId="1" w15:restartNumberingAfterBreak="0">
    <w:nsid w:val="41051DCA"/>
    <w:multiLevelType w:val="hybridMultilevel"/>
    <w:tmpl w:val="19E83028"/>
    <w:lvl w:ilvl="0" w:tplc="042A000F">
      <w:start w:val="1"/>
      <w:numFmt w:val="decimal"/>
      <w:lvlText w:val="%1."/>
      <w:lvlJc w:val="left"/>
      <w:pPr>
        <w:ind w:left="1344" w:hanging="360"/>
      </w:pPr>
    </w:lvl>
    <w:lvl w:ilvl="1" w:tplc="042A0019" w:tentative="1">
      <w:start w:val="1"/>
      <w:numFmt w:val="lowerLetter"/>
      <w:lvlText w:val="%2."/>
      <w:lvlJc w:val="left"/>
      <w:pPr>
        <w:ind w:left="2064" w:hanging="360"/>
      </w:pPr>
    </w:lvl>
    <w:lvl w:ilvl="2" w:tplc="042A001B" w:tentative="1">
      <w:start w:val="1"/>
      <w:numFmt w:val="lowerRoman"/>
      <w:lvlText w:val="%3."/>
      <w:lvlJc w:val="right"/>
      <w:pPr>
        <w:ind w:left="2784" w:hanging="180"/>
      </w:pPr>
    </w:lvl>
    <w:lvl w:ilvl="3" w:tplc="042A000F" w:tentative="1">
      <w:start w:val="1"/>
      <w:numFmt w:val="decimal"/>
      <w:lvlText w:val="%4."/>
      <w:lvlJc w:val="left"/>
      <w:pPr>
        <w:ind w:left="3504" w:hanging="360"/>
      </w:pPr>
    </w:lvl>
    <w:lvl w:ilvl="4" w:tplc="042A0019" w:tentative="1">
      <w:start w:val="1"/>
      <w:numFmt w:val="lowerLetter"/>
      <w:lvlText w:val="%5."/>
      <w:lvlJc w:val="left"/>
      <w:pPr>
        <w:ind w:left="4224" w:hanging="360"/>
      </w:pPr>
    </w:lvl>
    <w:lvl w:ilvl="5" w:tplc="042A001B" w:tentative="1">
      <w:start w:val="1"/>
      <w:numFmt w:val="lowerRoman"/>
      <w:lvlText w:val="%6."/>
      <w:lvlJc w:val="right"/>
      <w:pPr>
        <w:ind w:left="4944" w:hanging="180"/>
      </w:pPr>
    </w:lvl>
    <w:lvl w:ilvl="6" w:tplc="042A000F" w:tentative="1">
      <w:start w:val="1"/>
      <w:numFmt w:val="decimal"/>
      <w:lvlText w:val="%7."/>
      <w:lvlJc w:val="left"/>
      <w:pPr>
        <w:ind w:left="5664" w:hanging="360"/>
      </w:pPr>
    </w:lvl>
    <w:lvl w:ilvl="7" w:tplc="042A0019" w:tentative="1">
      <w:start w:val="1"/>
      <w:numFmt w:val="lowerLetter"/>
      <w:lvlText w:val="%8."/>
      <w:lvlJc w:val="left"/>
      <w:pPr>
        <w:ind w:left="6384" w:hanging="360"/>
      </w:pPr>
    </w:lvl>
    <w:lvl w:ilvl="8" w:tplc="042A001B" w:tentative="1">
      <w:start w:val="1"/>
      <w:numFmt w:val="lowerRoman"/>
      <w:lvlText w:val="%9."/>
      <w:lvlJc w:val="right"/>
      <w:pPr>
        <w:ind w:left="7104" w:hanging="180"/>
      </w:pPr>
    </w:lvl>
  </w:abstractNum>
  <w:abstractNum w:abstractNumId="2" w15:restartNumberingAfterBreak="0">
    <w:nsid w:val="560242C2"/>
    <w:multiLevelType w:val="hybridMultilevel"/>
    <w:tmpl w:val="3404DC8C"/>
    <w:lvl w:ilvl="0" w:tplc="89DAD642">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num w:numId="1" w16cid:durableId="1917014181">
    <w:abstractNumId w:val="0"/>
    <w:lvlOverride w:ilvl="0">
      <w:startOverride w:val="1"/>
    </w:lvlOverride>
  </w:num>
  <w:num w:numId="2" w16cid:durableId="1781487666">
    <w:abstractNumId w:val="1"/>
  </w:num>
  <w:num w:numId="3" w16cid:durableId="1939211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167"/>
    <w:rsid w:val="00032951"/>
    <w:rsid w:val="000962A5"/>
    <w:rsid w:val="00143738"/>
    <w:rsid w:val="00157BA8"/>
    <w:rsid w:val="001802DA"/>
    <w:rsid w:val="00225C68"/>
    <w:rsid w:val="00240E29"/>
    <w:rsid w:val="002561F2"/>
    <w:rsid w:val="002971BE"/>
    <w:rsid w:val="002A597E"/>
    <w:rsid w:val="002E4484"/>
    <w:rsid w:val="00380673"/>
    <w:rsid w:val="003A2972"/>
    <w:rsid w:val="003C47B1"/>
    <w:rsid w:val="003F6707"/>
    <w:rsid w:val="004329D6"/>
    <w:rsid w:val="00433F64"/>
    <w:rsid w:val="006B3F18"/>
    <w:rsid w:val="006C4442"/>
    <w:rsid w:val="006D16DD"/>
    <w:rsid w:val="006D4B67"/>
    <w:rsid w:val="00706AA5"/>
    <w:rsid w:val="00793D0F"/>
    <w:rsid w:val="007A393F"/>
    <w:rsid w:val="00816167"/>
    <w:rsid w:val="00830A5D"/>
    <w:rsid w:val="00873B73"/>
    <w:rsid w:val="00883790"/>
    <w:rsid w:val="0089240E"/>
    <w:rsid w:val="008C248E"/>
    <w:rsid w:val="00932187"/>
    <w:rsid w:val="009641F3"/>
    <w:rsid w:val="00991236"/>
    <w:rsid w:val="009D3B28"/>
    <w:rsid w:val="009E6A48"/>
    <w:rsid w:val="00A33FFB"/>
    <w:rsid w:val="00B14738"/>
    <w:rsid w:val="00B5447D"/>
    <w:rsid w:val="00B8446D"/>
    <w:rsid w:val="00BF3D89"/>
    <w:rsid w:val="00C02782"/>
    <w:rsid w:val="00C4584D"/>
    <w:rsid w:val="00C52B7F"/>
    <w:rsid w:val="00C658BE"/>
    <w:rsid w:val="00C81F46"/>
    <w:rsid w:val="00CC034E"/>
    <w:rsid w:val="00CD456C"/>
    <w:rsid w:val="00D35CB3"/>
    <w:rsid w:val="00DC0770"/>
    <w:rsid w:val="00E35A1B"/>
    <w:rsid w:val="00F04EE3"/>
    <w:rsid w:val="00F20ACB"/>
    <w:rsid w:val="00F47118"/>
    <w:rsid w:val="00F633A1"/>
    <w:rsid w:val="00F920B0"/>
    <w:rsid w:val="00FA078A"/>
    <w:rsid w:val="00FA323D"/>
    <w:rsid w:val="00FA379F"/>
    <w:rsid w:val="00FB5CC0"/>
    <w:rsid w:val="00FF61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88FB"/>
  <w15:docId w15:val="{BBEAB845-625F-CD41-92A9-67B038C6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A597E"/>
    <w:pPr>
      <w:tabs>
        <w:tab w:val="center" w:pos="4680"/>
        <w:tab w:val="right" w:pos="9360"/>
      </w:tabs>
    </w:pPr>
  </w:style>
  <w:style w:type="character" w:customStyle="1" w:styleId="HeaderChar">
    <w:name w:val="Header Char"/>
    <w:basedOn w:val="DefaultParagraphFont"/>
    <w:link w:val="Header"/>
    <w:uiPriority w:val="99"/>
    <w:rsid w:val="002A597E"/>
  </w:style>
  <w:style w:type="character" w:styleId="PageNumber">
    <w:name w:val="page number"/>
    <w:basedOn w:val="DefaultParagraphFont"/>
    <w:uiPriority w:val="99"/>
    <w:semiHidden/>
    <w:unhideWhenUsed/>
    <w:rsid w:val="002A597E"/>
  </w:style>
  <w:style w:type="paragraph" w:styleId="Footer">
    <w:name w:val="footer"/>
    <w:basedOn w:val="Normal"/>
    <w:link w:val="FooterChar"/>
    <w:uiPriority w:val="99"/>
    <w:unhideWhenUsed/>
    <w:rsid w:val="002A597E"/>
    <w:pPr>
      <w:tabs>
        <w:tab w:val="center" w:pos="4680"/>
        <w:tab w:val="right" w:pos="9360"/>
      </w:tabs>
    </w:pPr>
  </w:style>
  <w:style w:type="character" w:customStyle="1" w:styleId="FooterChar">
    <w:name w:val="Footer Char"/>
    <w:basedOn w:val="DefaultParagraphFont"/>
    <w:link w:val="Footer"/>
    <w:uiPriority w:val="99"/>
    <w:rsid w:val="002A597E"/>
  </w:style>
  <w:style w:type="paragraph" w:styleId="BalloonText">
    <w:name w:val="Balloon Text"/>
    <w:basedOn w:val="Normal"/>
    <w:link w:val="BalloonTextChar"/>
    <w:uiPriority w:val="99"/>
    <w:semiHidden/>
    <w:unhideWhenUsed/>
    <w:rsid w:val="006D1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DD"/>
    <w:rPr>
      <w:rFonts w:ascii="Segoe UI" w:hAnsi="Segoe UI" w:cs="Segoe UI"/>
      <w:sz w:val="18"/>
      <w:szCs w:val="18"/>
    </w:rPr>
  </w:style>
  <w:style w:type="character" w:styleId="CommentReference">
    <w:name w:val="annotation reference"/>
    <w:basedOn w:val="DefaultParagraphFont"/>
    <w:uiPriority w:val="99"/>
    <w:semiHidden/>
    <w:unhideWhenUsed/>
    <w:rsid w:val="00FF6162"/>
    <w:rPr>
      <w:sz w:val="16"/>
      <w:szCs w:val="16"/>
    </w:rPr>
  </w:style>
  <w:style w:type="paragraph" w:styleId="CommentText">
    <w:name w:val="annotation text"/>
    <w:basedOn w:val="Normal"/>
    <w:link w:val="CommentTextChar"/>
    <w:uiPriority w:val="99"/>
    <w:semiHidden/>
    <w:unhideWhenUsed/>
    <w:rsid w:val="00FF6162"/>
  </w:style>
  <w:style w:type="character" w:customStyle="1" w:styleId="CommentTextChar">
    <w:name w:val="Comment Text Char"/>
    <w:basedOn w:val="DefaultParagraphFont"/>
    <w:link w:val="CommentText"/>
    <w:uiPriority w:val="99"/>
    <w:semiHidden/>
    <w:rsid w:val="00FF6162"/>
  </w:style>
  <w:style w:type="paragraph" w:styleId="CommentSubject">
    <w:name w:val="annotation subject"/>
    <w:basedOn w:val="CommentText"/>
    <w:next w:val="CommentText"/>
    <w:link w:val="CommentSubjectChar"/>
    <w:uiPriority w:val="99"/>
    <w:semiHidden/>
    <w:unhideWhenUsed/>
    <w:rsid w:val="00FF6162"/>
    <w:rPr>
      <w:b/>
      <w:bCs/>
    </w:rPr>
  </w:style>
  <w:style w:type="character" w:customStyle="1" w:styleId="CommentSubjectChar">
    <w:name w:val="Comment Subject Char"/>
    <w:basedOn w:val="CommentTextChar"/>
    <w:link w:val="CommentSubject"/>
    <w:uiPriority w:val="99"/>
    <w:semiHidden/>
    <w:rsid w:val="00FF6162"/>
    <w:rPr>
      <w:b/>
      <w:bCs/>
    </w:rPr>
  </w:style>
  <w:style w:type="paragraph" w:customStyle="1" w:styleId="pdq2pgselectionanchorcontainer">
    <w:name w:val="pdq2pg_selectionanchorcontainer"/>
    <w:basedOn w:val="Normal"/>
    <w:rsid w:val="008C248E"/>
    <w:pPr>
      <w:spacing w:before="100" w:beforeAutospacing="1" w:after="100" w:afterAutospacing="1"/>
    </w:pPr>
    <w:rPr>
      <w:sz w:val="24"/>
      <w:szCs w:val="24"/>
      <w:lang w:val="en-US"/>
    </w:rPr>
  </w:style>
  <w:style w:type="paragraph" w:styleId="NormalWeb">
    <w:name w:val="Normal (Web)"/>
    <w:basedOn w:val="Normal"/>
    <w:uiPriority w:val="99"/>
    <w:semiHidden/>
    <w:unhideWhenUsed/>
    <w:rsid w:val="008C248E"/>
    <w:pPr>
      <w:spacing w:before="100" w:beforeAutospacing="1" w:after="100" w:afterAutospacing="1"/>
    </w:pPr>
    <w:rPr>
      <w:sz w:val="24"/>
      <w:szCs w:val="24"/>
      <w:lang w:val="en-US"/>
    </w:rPr>
  </w:style>
  <w:style w:type="character" w:styleId="Strong">
    <w:name w:val="Strong"/>
    <w:basedOn w:val="DefaultParagraphFont"/>
    <w:uiPriority w:val="22"/>
    <w:qFormat/>
    <w:rsid w:val="008C248E"/>
    <w:rPr>
      <w:b/>
      <w:bCs/>
    </w:rPr>
  </w:style>
  <w:style w:type="paragraph" w:styleId="Revision">
    <w:name w:val="Revision"/>
    <w:hidden/>
    <w:uiPriority w:val="99"/>
    <w:semiHidden/>
    <w:rsid w:val="006C4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8552">
      <w:bodyDiv w:val="1"/>
      <w:marLeft w:val="0"/>
      <w:marRight w:val="0"/>
      <w:marTop w:val="0"/>
      <w:marBottom w:val="0"/>
      <w:divBdr>
        <w:top w:val="none" w:sz="0" w:space="0" w:color="auto"/>
        <w:left w:val="none" w:sz="0" w:space="0" w:color="auto"/>
        <w:bottom w:val="none" w:sz="0" w:space="0" w:color="auto"/>
        <w:right w:val="none" w:sz="0" w:space="0" w:color="auto"/>
      </w:divBdr>
    </w:div>
    <w:div w:id="238057678">
      <w:bodyDiv w:val="1"/>
      <w:marLeft w:val="0"/>
      <w:marRight w:val="0"/>
      <w:marTop w:val="0"/>
      <w:marBottom w:val="0"/>
      <w:divBdr>
        <w:top w:val="none" w:sz="0" w:space="0" w:color="auto"/>
        <w:left w:val="none" w:sz="0" w:space="0" w:color="auto"/>
        <w:bottom w:val="none" w:sz="0" w:space="0" w:color="auto"/>
        <w:right w:val="none" w:sz="0" w:space="0" w:color="auto"/>
      </w:divBdr>
    </w:div>
    <w:div w:id="270283141">
      <w:bodyDiv w:val="1"/>
      <w:marLeft w:val="0"/>
      <w:marRight w:val="0"/>
      <w:marTop w:val="0"/>
      <w:marBottom w:val="0"/>
      <w:divBdr>
        <w:top w:val="none" w:sz="0" w:space="0" w:color="auto"/>
        <w:left w:val="none" w:sz="0" w:space="0" w:color="auto"/>
        <w:bottom w:val="none" w:sz="0" w:space="0" w:color="auto"/>
        <w:right w:val="none" w:sz="0" w:space="0" w:color="auto"/>
      </w:divBdr>
    </w:div>
    <w:div w:id="324431570">
      <w:bodyDiv w:val="1"/>
      <w:marLeft w:val="0"/>
      <w:marRight w:val="0"/>
      <w:marTop w:val="0"/>
      <w:marBottom w:val="0"/>
      <w:divBdr>
        <w:top w:val="none" w:sz="0" w:space="0" w:color="auto"/>
        <w:left w:val="none" w:sz="0" w:space="0" w:color="auto"/>
        <w:bottom w:val="none" w:sz="0" w:space="0" w:color="auto"/>
        <w:right w:val="none" w:sz="0" w:space="0" w:color="auto"/>
      </w:divBdr>
    </w:div>
    <w:div w:id="556405150">
      <w:bodyDiv w:val="1"/>
      <w:marLeft w:val="0"/>
      <w:marRight w:val="0"/>
      <w:marTop w:val="0"/>
      <w:marBottom w:val="0"/>
      <w:divBdr>
        <w:top w:val="none" w:sz="0" w:space="0" w:color="auto"/>
        <w:left w:val="none" w:sz="0" w:space="0" w:color="auto"/>
        <w:bottom w:val="none" w:sz="0" w:space="0" w:color="auto"/>
        <w:right w:val="none" w:sz="0" w:space="0" w:color="auto"/>
      </w:divBdr>
    </w:div>
    <w:div w:id="799688165">
      <w:bodyDiv w:val="1"/>
      <w:marLeft w:val="0"/>
      <w:marRight w:val="0"/>
      <w:marTop w:val="0"/>
      <w:marBottom w:val="0"/>
      <w:divBdr>
        <w:top w:val="none" w:sz="0" w:space="0" w:color="auto"/>
        <w:left w:val="none" w:sz="0" w:space="0" w:color="auto"/>
        <w:bottom w:val="none" w:sz="0" w:space="0" w:color="auto"/>
        <w:right w:val="none" w:sz="0" w:space="0" w:color="auto"/>
      </w:divBdr>
    </w:div>
    <w:div w:id="1083337950">
      <w:bodyDiv w:val="1"/>
      <w:marLeft w:val="0"/>
      <w:marRight w:val="0"/>
      <w:marTop w:val="0"/>
      <w:marBottom w:val="0"/>
      <w:divBdr>
        <w:top w:val="none" w:sz="0" w:space="0" w:color="auto"/>
        <w:left w:val="none" w:sz="0" w:space="0" w:color="auto"/>
        <w:bottom w:val="none" w:sz="0" w:space="0" w:color="auto"/>
        <w:right w:val="none" w:sz="0" w:space="0" w:color="auto"/>
      </w:divBdr>
    </w:div>
    <w:div w:id="1177310688">
      <w:bodyDiv w:val="1"/>
      <w:marLeft w:val="0"/>
      <w:marRight w:val="0"/>
      <w:marTop w:val="0"/>
      <w:marBottom w:val="0"/>
      <w:divBdr>
        <w:top w:val="none" w:sz="0" w:space="0" w:color="auto"/>
        <w:left w:val="none" w:sz="0" w:space="0" w:color="auto"/>
        <w:bottom w:val="none" w:sz="0" w:space="0" w:color="auto"/>
        <w:right w:val="none" w:sz="0" w:space="0" w:color="auto"/>
      </w:divBdr>
    </w:div>
    <w:div w:id="1190605231">
      <w:bodyDiv w:val="1"/>
      <w:marLeft w:val="0"/>
      <w:marRight w:val="0"/>
      <w:marTop w:val="0"/>
      <w:marBottom w:val="0"/>
      <w:divBdr>
        <w:top w:val="none" w:sz="0" w:space="0" w:color="auto"/>
        <w:left w:val="none" w:sz="0" w:space="0" w:color="auto"/>
        <w:bottom w:val="none" w:sz="0" w:space="0" w:color="auto"/>
        <w:right w:val="none" w:sz="0" w:space="0" w:color="auto"/>
      </w:divBdr>
    </w:div>
    <w:div w:id="1239287845">
      <w:bodyDiv w:val="1"/>
      <w:marLeft w:val="0"/>
      <w:marRight w:val="0"/>
      <w:marTop w:val="0"/>
      <w:marBottom w:val="0"/>
      <w:divBdr>
        <w:top w:val="none" w:sz="0" w:space="0" w:color="auto"/>
        <w:left w:val="none" w:sz="0" w:space="0" w:color="auto"/>
        <w:bottom w:val="none" w:sz="0" w:space="0" w:color="auto"/>
        <w:right w:val="none" w:sz="0" w:space="0" w:color="auto"/>
      </w:divBdr>
    </w:div>
    <w:div w:id="1330517904">
      <w:bodyDiv w:val="1"/>
      <w:marLeft w:val="0"/>
      <w:marRight w:val="0"/>
      <w:marTop w:val="0"/>
      <w:marBottom w:val="0"/>
      <w:divBdr>
        <w:top w:val="none" w:sz="0" w:space="0" w:color="auto"/>
        <w:left w:val="none" w:sz="0" w:space="0" w:color="auto"/>
        <w:bottom w:val="none" w:sz="0" w:space="0" w:color="auto"/>
        <w:right w:val="none" w:sz="0" w:space="0" w:color="auto"/>
      </w:divBdr>
    </w:div>
    <w:div w:id="1410807010">
      <w:bodyDiv w:val="1"/>
      <w:marLeft w:val="0"/>
      <w:marRight w:val="0"/>
      <w:marTop w:val="0"/>
      <w:marBottom w:val="0"/>
      <w:divBdr>
        <w:top w:val="none" w:sz="0" w:space="0" w:color="auto"/>
        <w:left w:val="none" w:sz="0" w:space="0" w:color="auto"/>
        <w:bottom w:val="none" w:sz="0" w:space="0" w:color="auto"/>
        <w:right w:val="none" w:sz="0" w:space="0" w:color="auto"/>
      </w:divBdr>
    </w:div>
    <w:div w:id="1416245807">
      <w:bodyDiv w:val="1"/>
      <w:marLeft w:val="0"/>
      <w:marRight w:val="0"/>
      <w:marTop w:val="0"/>
      <w:marBottom w:val="0"/>
      <w:divBdr>
        <w:top w:val="none" w:sz="0" w:space="0" w:color="auto"/>
        <w:left w:val="none" w:sz="0" w:space="0" w:color="auto"/>
        <w:bottom w:val="none" w:sz="0" w:space="0" w:color="auto"/>
        <w:right w:val="none" w:sz="0" w:space="0" w:color="auto"/>
      </w:divBdr>
    </w:div>
    <w:div w:id="1521969382">
      <w:bodyDiv w:val="1"/>
      <w:marLeft w:val="0"/>
      <w:marRight w:val="0"/>
      <w:marTop w:val="0"/>
      <w:marBottom w:val="0"/>
      <w:divBdr>
        <w:top w:val="none" w:sz="0" w:space="0" w:color="auto"/>
        <w:left w:val="none" w:sz="0" w:space="0" w:color="auto"/>
        <w:bottom w:val="none" w:sz="0" w:space="0" w:color="auto"/>
        <w:right w:val="none" w:sz="0" w:space="0" w:color="auto"/>
      </w:divBdr>
    </w:div>
    <w:div w:id="1591234777">
      <w:bodyDiv w:val="1"/>
      <w:marLeft w:val="0"/>
      <w:marRight w:val="0"/>
      <w:marTop w:val="0"/>
      <w:marBottom w:val="0"/>
      <w:divBdr>
        <w:top w:val="none" w:sz="0" w:space="0" w:color="auto"/>
        <w:left w:val="none" w:sz="0" w:space="0" w:color="auto"/>
        <w:bottom w:val="none" w:sz="0" w:space="0" w:color="auto"/>
        <w:right w:val="none" w:sz="0" w:space="0" w:color="auto"/>
      </w:divBdr>
    </w:div>
    <w:div w:id="1695882973">
      <w:bodyDiv w:val="1"/>
      <w:marLeft w:val="0"/>
      <w:marRight w:val="0"/>
      <w:marTop w:val="0"/>
      <w:marBottom w:val="0"/>
      <w:divBdr>
        <w:top w:val="none" w:sz="0" w:space="0" w:color="auto"/>
        <w:left w:val="none" w:sz="0" w:space="0" w:color="auto"/>
        <w:bottom w:val="none" w:sz="0" w:space="0" w:color="auto"/>
        <w:right w:val="none" w:sz="0" w:space="0" w:color="auto"/>
      </w:divBdr>
    </w:div>
    <w:div w:id="1746537746">
      <w:bodyDiv w:val="1"/>
      <w:marLeft w:val="0"/>
      <w:marRight w:val="0"/>
      <w:marTop w:val="0"/>
      <w:marBottom w:val="0"/>
      <w:divBdr>
        <w:top w:val="none" w:sz="0" w:space="0" w:color="auto"/>
        <w:left w:val="none" w:sz="0" w:space="0" w:color="auto"/>
        <w:bottom w:val="none" w:sz="0" w:space="0" w:color="auto"/>
        <w:right w:val="none" w:sz="0" w:space="0" w:color="auto"/>
      </w:divBdr>
    </w:div>
    <w:div w:id="1844590627">
      <w:bodyDiv w:val="1"/>
      <w:marLeft w:val="0"/>
      <w:marRight w:val="0"/>
      <w:marTop w:val="0"/>
      <w:marBottom w:val="0"/>
      <w:divBdr>
        <w:top w:val="none" w:sz="0" w:space="0" w:color="auto"/>
        <w:left w:val="none" w:sz="0" w:space="0" w:color="auto"/>
        <w:bottom w:val="none" w:sz="0" w:space="0" w:color="auto"/>
        <w:right w:val="none" w:sz="0" w:space="0" w:color="auto"/>
      </w:divBdr>
    </w:div>
    <w:div w:id="1853490269">
      <w:bodyDiv w:val="1"/>
      <w:marLeft w:val="0"/>
      <w:marRight w:val="0"/>
      <w:marTop w:val="0"/>
      <w:marBottom w:val="0"/>
      <w:divBdr>
        <w:top w:val="none" w:sz="0" w:space="0" w:color="auto"/>
        <w:left w:val="none" w:sz="0" w:space="0" w:color="auto"/>
        <w:bottom w:val="none" w:sz="0" w:space="0" w:color="auto"/>
        <w:right w:val="none" w:sz="0" w:space="0" w:color="auto"/>
      </w:divBdr>
    </w:div>
    <w:div w:id="1937325497">
      <w:bodyDiv w:val="1"/>
      <w:marLeft w:val="0"/>
      <w:marRight w:val="0"/>
      <w:marTop w:val="0"/>
      <w:marBottom w:val="0"/>
      <w:divBdr>
        <w:top w:val="none" w:sz="0" w:space="0" w:color="auto"/>
        <w:left w:val="none" w:sz="0" w:space="0" w:color="auto"/>
        <w:bottom w:val="none" w:sz="0" w:space="0" w:color="auto"/>
        <w:right w:val="none" w:sz="0" w:space="0" w:color="auto"/>
      </w:divBdr>
    </w:div>
    <w:div w:id="1978992572">
      <w:bodyDiv w:val="1"/>
      <w:marLeft w:val="0"/>
      <w:marRight w:val="0"/>
      <w:marTop w:val="0"/>
      <w:marBottom w:val="0"/>
      <w:divBdr>
        <w:top w:val="none" w:sz="0" w:space="0" w:color="auto"/>
        <w:left w:val="none" w:sz="0" w:space="0" w:color="auto"/>
        <w:bottom w:val="none" w:sz="0" w:space="0" w:color="auto"/>
        <w:right w:val="none" w:sz="0" w:space="0" w:color="auto"/>
      </w:divBdr>
    </w:div>
    <w:div w:id="2065593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7303</Words>
  <Characters>41631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Lê Trung Dũng</cp:lastModifiedBy>
  <cp:revision>2</cp:revision>
  <cp:lastPrinted>2026-08-11T02:17:00Z</cp:lastPrinted>
  <dcterms:created xsi:type="dcterms:W3CDTF">2026-08-17T04:21:00Z</dcterms:created>
  <dcterms:modified xsi:type="dcterms:W3CDTF">2026-08-17T04:21:00Z</dcterms:modified>
</cp:coreProperties>
</file>