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8F1D" w14:textId="77777777" w:rsidR="000223AF" w:rsidRPr="00F42706" w:rsidRDefault="000223AF" w:rsidP="000223AF">
      <w:pPr>
        <w:spacing w:before="0"/>
        <w:jc w:val="center"/>
        <w:rPr>
          <w:b/>
          <w:sz w:val="28"/>
        </w:rPr>
      </w:pPr>
      <w:r w:rsidRPr="00F42706">
        <w:rPr>
          <w:b/>
          <w:sz w:val="28"/>
        </w:rPr>
        <w:t>THÔNG CÁO BÁO CHÍ</w:t>
      </w:r>
    </w:p>
    <w:p w14:paraId="662E8026" w14:textId="0CB6B352" w:rsidR="000223AF" w:rsidRDefault="000223AF" w:rsidP="000223AF">
      <w:pPr>
        <w:spacing w:before="0"/>
        <w:jc w:val="center"/>
        <w:rPr>
          <w:rFonts w:cs="Times New Roman"/>
          <w:b/>
          <w:bCs/>
          <w:sz w:val="28"/>
          <w:szCs w:val="28"/>
        </w:rPr>
      </w:pPr>
      <w:r w:rsidRPr="00793C87">
        <w:rPr>
          <w:b/>
          <w:bCs/>
          <w:sz w:val="28"/>
          <w:szCs w:val="28"/>
        </w:rPr>
        <w:t xml:space="preserve">Về Thông tư </w:t>
      </w:r>
      <w:r w:rsidRPr="000620B4">
        <w:rPr>
          <w:rFonts w:cs="Times New Roman"/>
          <w:b/>
          <w:bCs/>
          <w:sz w:val="28"/>
          <w:szCs w:val="28"/>
        </w:rPr>
        <w:t xml:space="preserve">quy định về nhà giáo hợp đồng toàn thời gian sau khi nghỉ hưu và nhà giáo thỉnh giảng </w:t>
      </w:r>
    </w:p>
    <w:p w14:paraId="75E92829" w14:textId="77777777" w:rsidR="000223AF" w:rsidRDefault="000223AF" w:rsidP="000223AF">
      <w:pPr>
        <w:spacing w:before="0"/>
        <w:jc w:val="center"/>
        <w:rPr>
          <w:b/>
          <w:bCs/>
          <w:sz w:val="28"/>
          <w:szCs w:val="28"/>
        </w:rPr>
      </w:pPr>
      <w:r w:rsidRPr="00F42706">
        <w:rPr>
          <w:b/>
          <w:noProof/>
          <w:sz w:val="28"/>
        </w:rPr>
        <mc:AlternateContent>
          <mc:Choice Requires="wps">
            <w:drawing>
              <wp:anchor distT="4294967295" distB="4294967295" distL="114300" distR="114300" simplePos="0" relativeHeight="251659264" behindDoc="0" locked="0" layoutInCell="1" allowOverlap="1" wp14:anchorId="4AED8A21" wp14:editId="15D8F447">
                <wp:simplePos x="0" y="0"/>
                <wp:positionH relativeFrom="column">
                  <wp:posOffset>2396490</wp:posOffset>
                </wp:positionH>
                <wp:positionV relativeFrom="paragraph">
                  <wp:posOffset>40004</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57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0A43A3"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8.7pt,3.15pt" to="287.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" strokecolor="windowText" strokeweight=".5pt">
                <v:stroke joinstyle="miter"/>
                <o:lock v:ext="edit" shapetype="f"/>
              </v:line>
            </w:pict>
          </mc:Fallback>
        </mc:AlternateContent>
      </w:r>
    </w:p>
    <w:p w14:paraId="76A2DA69" w14:textId="60294A3E" w:rsidR="000223AF" w:rsidRPr="000223AF" w:rsidRDefault="000223AF" w:rsidP="003F498B">
      <w:pPr>
        <w:spacing w:before="0"/>
        <w:ind w:firstLine="720"/>
        <w:jc w:val="both"/>
        <w:rPr>
          <w:b/>
          <w:bCs/>
          <w:sz w:val="28"/>
          <w:szCs w:val="28"/>
        </w:rPr>
      </w:pPr>
      <w:r w:rsidRPr="000620B4">
        <w:rPr>
          <w:rFonts w:cs="Times New Roman"/>
          <w:b/>
          <w:bCs/>
          <w:sz w:val="28"/>
          <w:szCs w:val="28"/>
        </w:rPr>
        <w:t xml:space="preserve">Bộ Giáo dục và Đào tạo (GDĐT) ban hành Thông tư số 59/2026/TT-BGDĐT ngày 15/7/2026, quy định về nhà giáo hợp đồng toàn thời gian sau khi nghỉ hưu và nhà giáo thỉnh giảng (Thông tư số 59). </w:t>
      </w:r>
    </w:p>
    <w:p w14:paraId="60A1D6BE" w14:textId="3095ABDC" w:rsidR="000223AF" w:rsidRPr="000620B4" w:rsidRDefault="000223AF" w:rsidP="000223AF">
      <w:pPr>
        <w:ind w:firstLine="720"/>
        <w:jc w:val="both"/>
        <w:rPr>
          <w:rFonts w:cs="Times New Roman"/>
          <w:sz w:val="28"/>
          <w:szCs w:val="28"/>
        </w:rPr>
      </w:pPr>
      <w:r w:rsidRPr="000620B4">
        <w:rPr>
          <w:rFonts w:cs="Times New Roman"/>
          <w:sz w:val="28"/>
          <w:szCs w:val="28"/>
        </w:rPr>
        <w:t>Thông tư số 59 có hiệu lực từ ngày 01/9/2026, thay thế các quy định tại Thông tư số 44/2011/TT-BGDĐT</w:t>
      </w:r>
      <w:r>
        <w:rPr>
          <w:rFonts w:cs="Times New Roman"/>
          <w:sz w:val="28"/>
          <w:szCs w:val="28"/>
        </w:rPr>
        <w:t xml:space="preserve"> </w:t>
      </w:r>
      <w:r w:rsidRPr="000620B4">
        <w:rPr>
          <w:rFonts w:cs="Times New Roman"/>
          <w:sz w:val="28"/>
          <w:szCs w:val="28"/>
        </w:rPr>
        <w:t>và Thông tư số 11/2013/TT-BGDĐT, nhằm cụ thể hóa quy định của Luật Nhà giáo, Luật Giáo dục, Luật Giáo dục nghề nghiệp và Luật Giáo dục đại học; đồng thời tạo hành lang pháp l</w:t>
      </w:r>
      <w:r w:rsidR="003F498B">
        <w:rPr>
          <w:rFonts w:cs="Times New Roman"/>
          <w:sz w:val="28"/>
          <w:szCs w:val="28"/>
        </w:rPr>
        <w:t>ý</w:t>
      </w:r>
      <w:r w:rsidRPr="000620B4">
        <w:rPr>
          <w:rFonts w:cs="Times New Roman"/>
          <w:sz w:val="28"/>
          <w:szCs w:val="28"/>
        </w:rPr>
        <w:t xml:space="preserve"> thống nhất để các cơ sở giáo dục sử dụng hiệu quả đội ngũ nhà giáo giàu kinh nghiệm, góp phần nâng cao chất lượng giáo dục và đào tạo. </w:t>
      </w:r>
    </w:p>
    <w:p w14:paraId="3BB826BE" w14:textId="77777777" w:rsidR="000223AF" w:rsidRPr="000620B4" w:rsidRDefault="000223AF" w:rsidP="000223AF">
      <w:pPr>
        <w:ind w:firstLine="720"/>
        <w:jc w:val="both"/>
        <w:rPr>
          <w:rFonts w:cs="Times New Roman"/>
          <w:b/>
          <w:bCs/>
          <w:sz w:val="28"/>
          <w:szCs w:val="28"/>
        </w:rPr>
      </w:pPr>
      <w:r w:rsidRPr="000620B4">
        <w:rPr>
          <w:rFonts w:cs="Times New Roman"/>
          <w:b/>
          <w:bCs/>
          <w:sz w:val="28"/>
          <w:szCs w:val="28"/>
        </w:rPr>
        <w:t>Lần đầu quy định về nhà giáo hợp đồng toàn thời gian sau khi nghỉ hưu</w:t>
      </w:r>
    </w:p>
    <w:p w14:paraId="22B31A32" w14:textId="0614D01A" w:rsidR="000223AF" w:rsidRPr="000620B4" w:rsidRDefault="000223AF" w:rsidP="000223AF">
      <w:pPr>
        <w:ind w:firstLine="720"/>
        <w:jc w:val="both"/>
        <w:rPr>
          <w:rFonts w:cs="Times New Roman"/>
          <w:sz w:val="28"/>
          <w:szCs w:val="28"/>
        </w:rPr>
      </w:pPr>
      <w:r w:rsidRPr="000620B4">
        <w:rPr>
          <w:rFonts w:cs="Times New Roman"/>
          <w:sz w:val="28"/>
          <w:szCs w:val="28"/>
        </w:rPr>
        <w:t xml:space="preserve">Nếu </w:t>
      </w:r>
      <w:r>
        <w:rPr>
          <w:rFonts w:cs="Times New Roman"/>
          <w:sz w:val="28"/>
          <w:szCs w:val="28"/>
        </w:rPr>
        <w:t xml:space="preserve">các quy định trước đây chỉ </w:t>
      </w:r>
      <w:r w:rsidRPr="000620B4">
        <w:rPr>
          <w:rFonts w:cs="Times New Roman"/>
          <w:sz w:val="28"/>
          <w:szCs w:val="28"/>
        </w:rPr>
        <w:t>điều chỉnh hoạt động thỉnh giảng thì Thông tư mới bổ sung cơ chế cho phép cơ sở giáo dục k</w:t>
      </w:r>
      <w:r w:rsidR="003F498B">
        <w:rPr>
          <w:rFonts w:cs="Times New Roman"/>
          <w:sz w:val="28"/>
          <w:szCs w:val="28"/>
        </w:rPr>
        <w:t>ý</w:t>
      </w:r>
      <w:r w:rsidRPr="000620B4">
        <w:rPr>
          <w:rFonts w:cs="Times New Roman"/>
          <w:sz w:val="28"/>
          <w:szCs w:val="28"/>
        </w:rPr>
        <w:t xml:space="preserve"> hợp đồng lao động toàn thời gian với nhà giáo sau khi nghỉ hưu </w:t>
      </w:r>
      <w:r>
        <w:rPr>
          <w:rFonts w:cs="Times New Roman"/>
          <w:sz w:val="28"/>
          <w:szCs w:val="28"/>
        </w:rPr>
        <w:t xml:space="preserve">nếu </w:t>
      </w:r>
      <w:r w:rsidRPr="000620B4">
        <w:rPr>
          <w:rFonts w:cs="Times New Roman"/>
          <w:sz w:val="28"/>
          <w:szCs w:val="28"/>
        </w:rPr>
        <w:t>đáp ứng các điều kiện theo quy định.</w:t>
      </w:r>
    </w:p>
    <w:p w14:paraId="4C00BB77" w14:textId="3300BEE7" w:rsidR="000223AF" w:rsidRPr="000620B4" w:rsidRDefault="000223AF" w:rsidP="000223AF">
      <w:pPr>
        <w:ind w:firstLine="720"/>
        <w:jc w:val="both"/>
        <w:rPr>
          <w:rFonts w:cs="Times New Roman"/>
          <w:sz w:val="28"/>
          <w:szCs w:val="28"/>
        </w:rPr>
      </w:pPr>
      <w:r w:rsidRPr="000620B4">
        <w:rPr>
          <w:rFonts w:cs="Times New Roman"/>
          <w:sz w:val="28"/>
          <w:szCs w:val="28"/>
        </w:rPr>
        <w:t>Thông tư quy định rõ nguyên tắc k</w:t>
      </w:r>
      <w:r w:rsidR="003F498B">
        <w:rPr>
          <w:rFonts w:cs="Times New Roman"/>
          <w:sz w:val="28"/>
          <w:szCs w:val="28"/>
        </w:rPr>
        <w:t>ý</w:t>
      </w:r>
      <w:r w:rsidRPr="000620B4">
        <w:rPr>
          <w:rFonts w:cs="Times New Roman"/>
          <w:sz w:val="28"/>
          <w:szCs w:val="28"/>
        </w:rPr>
        <w:t xml:space="preserve"> kết hợp đồng, điều kiện của nhà giáo, thời giờ làm việc, tiền lương, phụ cấp, quyền, trách nhiệm của nhà giáo và trách nhiệm của cơ sở giáo dục khi sử dụng đội ngũ này.</w:t>
      </w:r>
      <w:r>
        <w:rPr>
          <w:rFonts w:cs="Times New Roman"/>
          <w:sz w:val="28"/>
          <w:szCs w:val="28"/>
        </w:rPr>
        <w:t xml:space="preserve"> Thông tư cũng nhấn mạnh,</w:t>
      </w:r>
      <w:r w:rsidRPr="000620B4">
        <w:rPr>
          <w:rFonts w:cs="Times New Roman"/>
          <w:sz w:val="28"/>
          <w:szCs w:val="28"/>
        </w:rPr>
        <w:t xml:space="preserve"> việc sử dụng nhà giáo sau nghỉ hưu phải bảo đảm không ảnh hưởng đến chiến lược phát triển đội ngũ kế cận, không thay thế đội ngũ nhà giáo cơ hữu và tuân thủ quy định của pháp luật lao động. </w:t>
      </w:r>
    </w:p>
    <w:p w14:paraId="5324B320" w14:textId="4C956F99" w:rsidR="000223AF" w:rsidRPr="000620B4" w:rsidRDefault="000223AF" w:rsidP="000223AF">
      <w:pPr>
        <w:ind w:firstLine="720"/>
        <w:jc w:val="both"/>
        <w:rPr>
          <w:rFonts w:cs="Times New Roman"/>
          <w:sz w:val="28"/>
          <w:szCs w:val="28"/>
        </w:rPr>
      </w:pPr>
      <w:r w:rsidRPr="000620B4">
        <w:rPr>
          <w:rFonts w:cs="Times New Roman"/>
          <w:sz w:val="28"/>
          <w:szCs w:val="28"/>
        </w:rPr>
        <w:t>Quy định này góp phần tận dụng nguồn nhân lực chất lượng cao đã nghỉ hưu, nhất là các chuyên gia, nhà khoa học, giảng viên giàu kinh nghiệm; đồng thời tạo cơ sở pháp l</w:t>
      </w:r>
      <w:r w:rsidR="003F498B">
        <w:rPr>
          <w:rFonts w:cs="Times New Roman"/>
          <w:sz w:val="28"/>
          <w:szCs w:val="28"/>
        </w:rPr>
        <w:t>ý</w:t>
      </w:r>
      <w:r w:rsidRPr="000620B4">
        <w:rPr>
          <w:rFonts w:cs="Times New Roman"/>
          <w:sz w:val="28"/>
          <w:szCs w:val="28"/>
        </w:rPr>
        <w:t xml:space="preserve"> rõ ràng để các cơ sở giáo dục sử dụng đội ngũ </w:t>
      </w:r>
      <w:r w:rsidR="003F498B">
        <w:rPr>
          <w:rFonts w:cs="Times New Roman"/>
          <w:sz w:val="28"/>
          <w:szCs w:val="28"/>
        </w:rPr>
        <w:t xml:space="preserve">nhà giáo sau khi nghỉ hưu </w:t>
      </w:r>
      <w:r w:rsidRPr="000620B4">
        <w:rPr>
          <w:rFonts w:cs="Times New Roman"/>
          <w:sz w:val="28"/>
          <w:szCs w:val="28"/>
        </w:rPr>
        <w:t>trong giảng dạy, nghiên cứu khoa học và nâng cao chất lượng đào tạo.</w:t>
      </w:r>
    </w:p>
    <w:p w14:paraId="41F8A5DF" w14:textId="77777777" w:rsidR="000223AF" w:rsidRPr="00F05B50" w:rsidRDefault="000223AF" w:rsidP="000223AF">
      <w:pPr>
        <w:ind w:firstLine="720"/>
        <w:jc w:val="both"/>
        <w:rPr>
          <w:rFonts w:cs="Times New Roman"/>
          <w:b/>
          <w:bCs/>
          <w:sz w:val="28"/>
          <w:szCs w:val="28"/>
        </w:rPr>
      </w:pPr>
      <w:r w:rsidRPr="00F05B50">
        <w:rPr>
          <w:rFonts w:cs="Times New Roman"/>
          <w:b/>
          <w:bCs/>
          <w:sz w:val="28"/>
          <w:szCs w:val="28"/>
        </w:rPr>
        <w:t>Hoàn thiện toàn diện quy định về nhà giáo thỉnh giảng</w:t>
      </w:r>
    </w:p>
    <w:p w14:paraId="7B002E48" w14:textId="68C99090" w:rsidR="000223AF" w:rsidRPr="00F05B50" w:rsidRDefault="000223AF" w:rsidP="000223AF">
      <w:pPr>
        <w:ind w:firstLine="720"/>
        <w:jc w:val="both"/>
        <w:rPr>
          <w:rFonts w:cs="Times New Roman"/>
          <w:sz w:val="28"/>
          <w:szCs w:val="28"/>
        </w:rPr>
      </w:pPr>
      <w:r w:rsidRPr="00F05B50">
        <w:rPr>
          <w:rFonts w:cs="Times New Roman"/>
          <w:sz w:val="28"/>
          <w:szCs w:val="28"/>
        </w:rPr>
        <w:t xml:space="preserve">So với </w:t>
      </w:r>
      <w:r w:rsidR="003F498B">
        <w:rPr>
          <w:rFonts w:cs="Times New Roman"/>
          <w:sz w:val="28"/>
          <w:szCs w:val="28"/>
        </w:rPr>
        <w:t>các Thông tư trước đây</w:t>
      </w:r>
      <w:r w:rsidRPr="00F05B50">
        <w:rPr>
          <w:rFonts w:cs="Times New Roman"/>
          <w:sz w:val="28"/>
          <w:szCs w:val="28"/>
        </w:rPr>
        <w:t xml:space="preserve">, Thông tư </w:t>
      </w:r>
      <w:r w:rsidR="003F498B">
        <w:rPr>
          <w:rFonts w:cs="Times New Roman"/>
          <w:sz w:val="28"/>
          <w:szCs w:val="28"/>
        </w:rPr>
        <w:t>mới</w:t>
      </w:r>
      <w:r w:rsidRPr="00F05B50">
        <w:rPr>
          <w:rFonts w:cs="Times New Roman"/>
          <w:sz w:val="28"/>
          <w:szCs w:val="28"/>
        </w:rPr>
        <w:t xml:space="preserve"> không chỉ kế thừa các quy định còn phù hợp mà còn mở rộng phạm vi điều chỉnh và hoàn thiện toàn diện cơ chế quản l</w:t>
      </w:r>
      <w:r w:rsidR="003F498B">
        <w:rPr>
          <w:rFonts w:cs="Times New Roman"/>
          <w:sz w:val="28"/>
          <w:szCs w:val="28"/>
        </w:rPr>
        <w:t>ý</w:t>
      </w:r>
      <w:r w:rsidRPr="00F05B50">
        <w:rPr>
          <w:rFonts w:cs="Times New Roman"/>
          <w:sz w:val="28"/>
          <w:szCs w:val="28"/>
        </w:rPr>
        <w:t xml:space="preserve"> hoạt động thỉnh giảng.</w:t>
      </w:r>
    </w:p>
    <w:p w14:paraId="50FC6AEE" w14:textId="58FDFDDE" w:rsidR="000223AF" w:rsidRPr="00F05B50" w:rsidRDefault="000223AF" w:rsidP="000223AF">
      <w:pPr>
        <w:ind w:firstLine="720"/>
        <w:jc w:val="both"/>
        <w:rPr>
          <w:rFonts w:cs="Times New Roman"/>
          <w:sz w:val="28"/>
          <w:szCs w:val="28"/>
        </w:rPr>
      </w:pPr>
      <w:r w:rsidRPr="00F05B50">
        <w:rPr>
          <w:rFonts w:cs="Times New Roman"/>
          <w:sz w:val="28"/>
          <w:szCs w:val="28"/>
        </w:rPr>
        <w:t xml:space="preserve">Thông tư </w:t>
      </w:r>
      <w:r w:rsidR="003F498B">
        <w:rPr>
          <w:rFonts w:cs="Times New Roman"/>
          <w:sz w:val="28"/>
          <w:szCs w:val="28"/>
        </w:rPr>
        <w:t xml:space="preserve">mới </w:t>
      </w:r>
      <w:r w:rsidRPr="00F05B50">
        <w:rPr>
          <w:rFonts w:cs="Times New Roman"/>
          <w:sz w:val="28"/>
          <w:szCs w:val="28"/>
        </w:rPr>
        <w:t>đưa ra khái niệm thống nhất về nhà giáo thỉnh giảng, cơ sở thỉnh giảng và hợp đồng thỉnh giảng</w:t>
      </w:r>
      <w:r w:rsidR="003F498B">
        <w:rPr>
          <w:rFonts w:cs="Times New Roman"/>
          <w:sz w:val="28"/>
          <w:szCs w:val="28"/>
        </w:rPr>
        <w:t xml:space="preserve">; </w:t>
      </w:r>
      <w:r w:rsidRPr="00F05B50">
        <w:rPr>
          <w:rFonts w:cs="Times New Roman"/>
          <w:sz w:val="28"/>
          <w:szCs w:val="28"/>
        </w:rPr>
        <w:t xml:space="preserve">xác định rõ hoạt động thỉnh giảng không chỉ giảng dạy môn học mà còn có thể tham gia hướng dẫn thực hành, nghiên cứu khoa học, biên soạn giáo trình, hướng dẫn khóa luận, luận văn, luận án và các hoạt động chuyên môn khác theo quy định. </w:t>
      </w:r>
    </w:p>
    <w:p w14:paraId="7E9F0027" w14:textId="3173665F" w:rsidR="000223AF" w:rsidRPr="00F05B50" w:rsidRDefault="000223AF" w:rsidP="000223AF">
      <w:pPr>
        <w:ind w:firstLine="720"/>
        <w:jc w:val="both"/>
        <w:rPr>
          <w:rFonts w:cs="Times New Roman"/>
          <w:sz w:val="28"/>
          <w:szCs w:val="28"/>
        </w:rPr>
      </w:pPr>
      <w:r w:rsidRPr="00F05B50">
        <w:rPr>
          <w:rFonts w:cs="Times New Roman"/>
          <w:sz w:val="28"/>
          <w:szCs w:val="28"/>
        </w:rPr>
        <w:lastRenderedPageBreak/>
        <w:t>Thông tư cũng quy định cụ thể hơn về tiêu chuẩn, điều kiện, định mức giờ thỉnh giảng, quyền và trách nhiệm của nhà giáo thỉnh giảng cũng như của cơ sở giáo dục, tạo cơ sở pháp l</w:t>
      </w:r>
      <w:r w:rsidR="003F498B">
        <w:rPr>
          <w:rFonts w:cs="Times New Roman"/>
          <w:sz w:val="28"/>
          <w:szCs w:val="28"/>
        </w:rPr>
        <w:t>ý</w:t>
      </w:r>
      <w:r w:rsidRPr="00F05B50">
        <w:rPr>
          <w:rFonts w:cs="Times New Roman"/>
          <w:sz w:val="28"/>
          <w:szCs w:val="28"/>
        </w:rPr>
        <w:t xml:space="preserve"> minh bạch cho việc sử dụng đội ngũ này.</w:t>
      </w:r>
    </w:p>
    <w:p w14:paraId="34D5D440" w14:textId="12914AD0" w:rsidR="000223AF" w:rsidRPr="00F05B50" w:rsidRDefault="000223AF" w:rsidP="000223AF">
      <w:pPr>
        <w:ind w:firstLine="720"/>
        <w:jc w:val="both"/>
        <w:rPr>
          <w:rFonts w:cs="Times New Roman"/>
          <w:sz w:val="28"/>
          <w:szCs w:val="28"/>
        </w:rPr>
      </w:pPr>
      <w:r w:rsidRPr="00F05B50">
        <w:rPr>
          <w:rFonts w:cs="Times New Roman"/>
          <w:sz w:val="28"/>
          <w:szCs w:val="28"/>
        </w:rPr>
        <w:t xml:space="preserve">Thông tư cũng phân định rõ việc áp dụng hợp đồng lao động và hợp đồng dịch vụ tùy theo tính chất của hoạt động thỉnh giảng. Quy định </w:t>
      </w:r>
      <w:r w:rsidR="003F498B">
        <w:rPr>
          <w:rFonts w:cs="Times New Roman"/>
          <w:sz w:val="28"/>
          <w:szCs w:val="28"/>
        </w:rPr>
        <w:t>mới</w:t>
      </w:r>
      <w:r w:rsidRPr="00F05B50">
        <w:rPr>
          <w:rFonts w:cs="Times New Roman"/>
          <w:sz w:val="28"/>
          <w:szCs w:val="28"/>
        </w:rPr>
        <w:t xml:space="preserve"> khắc phục những bất cập trước đây khi các văn bản cũ chưa phân định rõ bản chất pháp l</w:t>
      </w:r>
      <w:r w:rsidR="003F498B">
        <w:rPr>
          <w:rFonts w:cs="Times New Roman"/>
          <w:sz w:val="28"/>
          <w:szCs w:val="28"/>
        </w:rPr>
        <w:t>ý</w:t>
      </w:r>
      <w:r w:rsidRPr="00F05B50">
        <w:rPr>
          <w:rFonts w:cs="Times New Roman"/>
          <w:sz w:val="28"/>
          <w:szCs w:val="28"/>
        </w:rPr>
        <w:t xml:space="preserve"> của hoạt động thỉnh giảng, giúp việc áp dụng pháp luật thống nhất hơn. </w:t>
      </w:r>
    </w:p>
    <w:p w14:paraId="0A3C6D4D" w14:textId="77777777" w:rsidR="000223AF" w:rsidRPr="0004082D" w:rsidRDefault="000223AF" w:rsidP="000223AF">
      <w:pPr>
        <w:ind w:firstLine="720"/>
        <w:jc w:val="both"/>
        <w:rPr>
          <w:rFonts w:cs="Times New Roman"/>
          <w:b/>
          <w:bCs/>
          <w:sz w:val="28"/>
          <w:szCs w:val="28"/>
        </w:rPr>
      </w:pPr>
      <w:r w:rsidRPr="0004082D">
        <w:rPr>
          <w:rFonts w:cs="Times New Roman"/>
          <w:b/>
          <w:bCs/>
          <w:sz w:val="28"/>
          <w:szCs w:val="28"/>
        </w:rPr>
        <w:t>Gắn hoạt động thỉnh giảng với yêu cầu bảo đảm chất lượng giáo dục</w:t>
      </w:r>
    </w:p>
    <w:p w14:paraId="4B39D27A" w14:textId="77777777" w:rsidR="000223AF" w:rsidRPr="0004082D" w:rsidRDefault="000223AF" w:rsidP="000223AF">
      <w:pPr>
        <w:ind w:firstLine="720"/>
        <w:jc w:val="both"/>
        <w:rPr>
          <w:rFonts w:cs="Times New Roman"/>
          <w:sz w:val="28"/>
          <w:szCs w:val="28"/>
        </w:rPr>
      </w:pPr>
      <w:r w:rsidRPr="0004082D">
        <w:rPr>
          <w:rFonts w:cs="Times New Roman"/>
          <w:sz w:val="28"/>
          <w:szCs w:val="28"/>
        </w:rPr>
        <w:t>Thông tư mới bổ sung nhiều quy định nhằm nâng cao trách nhiệm của cơ sở giáo dục và nhà giáo.</w:t>
      </w:r>
    </w:p>
    <w:p w14:paraId="044C724F" w14:textId="24D916B9" w:rsidR="000223AF" w:rsidRPr="0004082D" w:rsidRDefault="000223AF" w:rsidP="000223AF">
      <w:pPr>
        <w:ind w:firstLine="720"/>
        <w:jc w:val="both"/>
        <w:rPr>
          <w:rFonts w:cs="Times New Roman"/>
          <w:sz w:val="28"/>
          <w:szCs w:val="28"/>
        </w:rPr>
      </w:pPr>
      <w:r w:rsidRPr="0004082D">
        <w:rPr>
          <w:rFonts w:cs="Times New Roman"/>
          <w:sz w:val="28"/>
          <w:szCs w:val="28"/>
        </w:rPr>
        <w:t>Cơ sở giáo dục phải xây dựng kế hoạch sử dụng nhà giáo thỉnh giảng, công khai danh sách nhà giáo thỉnh giảng trên trang thông tin điện tử (trừ một số trường hợp đặc thù), đánh giá định k</w:t>
      </w:r>
      <w:r w:rsidR="003F498B">
        <w:rPr>
          <w:rFonts w:cs="Times New Roman"/>
          <w:sz w:val="28"/>
          <w:szCs w:val="28"/>
        </w:rPr>
        <w:t>ỳ</w:t>
      </w:r>
      <w:r w:rsidRPr="0004082D">
        <w:rPr>
          <w:rFonts w:cs="Times New Roman"/>
          <w:sz w:val="28"/>
          <w:szCs w:val="28"/>
        </w:rPr>
        <w:t xml:space="preserve"> chất lượng giảng dạy, lấy ý kiến phản hồi của người học và sử dụng kết quả đánh giá làm căn cứ tiếp tục hoặc chấm dứt hợp đồng. </w:t>
      </w:r>
    </w:p>
    <w:p w14:paraId="03C9E7F7" w14:textId="77777777" w:rsidR="000223AF" w:rsidRPr="003F498B" w:rsidRDefault="000223AF" w:rsidP="000223AF">
      <w:pPr>
        <w:ind w:firstLine="720"/>
        <w:jc w:val="both"/>
        <w:rPr>
          <w:rFonts w:cs="Times New Roman"/>
          <w:spacing w:val="-2"/>
          <w:sz w:val="28"/>
          <w:szCs w:val="28"/>
        </w:rPr>
      </w:pPr>
      <w:r w:rsidRPr="003F498B">
        <w:rPr>
          <w:rFonts w:cs="Times New Roman"/>
          <w:spacing w:val="-2"/>
          <w:sz w:val="28"/>
          <w:szCs w:val="28"/>
        </w:rPr>
        <w:t xml:space="preserve">Đối với nhà giáo hợp đồng toàn thời gian sau khi nghỉ hưu, cơ sở giáo dục phải công khai danh sách, chức danh theo vị trí việc làm và chịu trách nhiệm bảo đảm tỉ lệ sử dụng đội ngũ này theo quy định về kiểm định chất lượng và quy mô đào tạo. </w:t>
      </w:r>
    </w:p>
    <w:p w14:paraId="73D4A919" w14:textId="79F0F0E3" w:rsidR="000223AF" w:rsidRPr="00340798" w:rsidRDefault="000223AF" w:rsidP="000223AF">
      <w:pPr>
        <w:ind w:firstLine="720"/>
        <w:jc w:val="both"/>
        <w:rPr>
          <w:rFonts w:cs="Times New Roman"/>
          <w:sz w:val="28"/>
          <w:szCs w:val="28"/>
        </w:rPr>
      </w:pPr>
      <w:r w:rsidRPr="00340798">
        <w:rPr>
          <w:rFonts w:cs="Times New Roman"/>
          <w:sz w:val="28"/>
          <w:szCs w:val="28"/>
        </w:rPr>
        <w:t xml:space="preserve">Thông tư nêu rõ, các cơ sở giáo dục được sử dụng đội ngũ nhà giáo hợp đồng toàn thời gian sau khi nghỉ hưu để nâng cao chất lượng hoạt động giáo dục, đào tạo và nghiên cứu khoa học. Kết quả công tác của đội ngũ này là cơ sở để xác định năng lực đào tạo, quy mô tuyển sinh và kiểm định chất lượng theo quy định của pháp luật về giáo dục. Việc sử dụng đội ngũ nhà giáo </w:t>
      </w:r>
      <w:r w:rsidR="003F498B" w:rsidRPr="00340798">
        <w:rPr>
          <w:rFonts w:cs="Times New Roman"/>
          <w:sz w:val="28"/>
          <w:szCs w:val="28"/>
        </w:rPr>
        <w:t>hợp đồng toàn thời gian sau khi nghỉ hưu</w:t>
      </w:r>
      <w:r w:rsidRPr="00340798">
        <w:rPr>
          <w:rFonts w:cs="Times New Roman"/>
          <w:sz w:val="28"/>
          <w:szCs w:val="28"/>
        </w:rPr>
        <w:t xml:space="preserve"> không thay thế các điều kiện bắt buộc về nhà giáo cơ hữu theo quy định của pháp luật có liên quan. Quy định </w:t>
      </w:r>
      <w:r w:rsidR="003F498B">
        <w:rPr>
          <w:rFonts w:cs="Times New Roman"/>
          <w:sz w:val="28"/>
          <w:szCs w:val="28"/>
        </w:rPr>
        <w:t>mới</w:t>
      </w:r>
      <w:r w:rsidRPr="00340798">
        <w:rPr>
          <w:rFonts w:cs="Times New Roman"/>
          <w:sz w:val="28"/>
          <w:szCs w:val="28"/>
        </w:rPr>
        <w:t xml:space="preserve"> phù hợp với cách tiếp cận quản trị chất lượng đội ngũ nhà giáo trong bối cảnh mới. </w:t>
      </w:r>
    </w:p>
    <w:p w14:paraId="40681107" w14:textId="77777777" w:rsidR="000223AF" w:rsidRPr="00340798" w:rsidRDefault="000223AF" w:rsidP="000223AF">
      <w:pPr>
        <w:jc w:val="both"/>
        <w:rPr>
          <w:rFonts w:cs="Times New Roman"/>
          <w:sz w:val="28"/>
          <w:szCs w:val="28"/>
        </w:rPr>
      </w:pPr>
    </w:p>
    <w:p w14:paraId="12682C3E" w14:textId="18C97455" w:rsidR="001F1930" w:rsidRDefault="001F1930"/>
    <w:sectPr w:rsidR="001F1930" w:rsidSect="005E7FCA">
      <w:headerReference w:type="default" r:id="rId6"/>
      <w:footerReference w:type="default" r:id="rId7"/>
      <w:pgSz w:w="11909" w:h="16834" w:code="9"/>
      <w:pgMar w:top="1559" w:right="907" w:bottom="1644" w:left="158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A359" w14:textId="77777777" w:rsidR="00CF13C5" w:rsidRDefault="00CF13C5">
      <w:pPr>
        <w:spacing w:before="0" w:line="240" w:lineRule="auto"/>
      </w:pPr>
      <w:r>
        <w:separator/>
      </w:r>
    </w:p>
  </w:endnote>
  <w:endnote w:type="continuationSeparator" w:id="0">
    <w:p w14:paraId="68DEB063" w14:textId="77777777" w:rsidR="00CF13C5" w:rsidRDefault="00CF13C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421481227"/>
      <w:docPartObj>
        <w:docPartGallery w:val="Page Numbers (Bottom of Page)"/>
        <w:docPartUnique/>
      </w:docPartObj>
    </w:sdtPr>
    <w:sdtEndPr>
      <w:rPr>
        <w:noProof/>
      </w:rPr>
    </w:sdtEndPr>
    <w:sdtContent>
      <w:p w14:paraId="0D076E9E" w14:textId="77777777" w:rsidR="0026052F" w:rsidRPr="00160342" w:rsidRDefault="000223AF">
        <w:pPr>
          <w:pStyle w:val="Chntrang"/>
          <w:jc w:val="right"/>
          <w:rPr>
            <w:color w:val="FFFFFF" w:themeColor="background1"/>
          </w:rPr>
        </w:pPr>
        <w:r w:rsidRPr="00160342">
          <w:rPr>
            <w:noProof/>
            <w:color w:val="FFFFFF" w:themeColor="background1"/>
          </w:rPr>
          <w:drawing>
            <wp:anchor distT="0" distB="0" distL="114300" distR="114300" simplePos="0" relativeHeight="251660288" behindDoc="1" locked="0" layoutInCell="1" allowOverlap="1" wp14:anchorId="301F32A6" wp14:editId="37E6EA37">
              <wp:simplePos x="0" y="0"/>
              <wp:positionH relativeFrom="page">
                <wp:align>left</wp:align>
              </wp:positionH>
              <wp:positionV relativeFrom="paragraph">
                <wp:posOffset>-165735</wp:posOffset>
              </wp:positionV>
              <wp:extent cx="7546372" cy="986155"/>
              <wp:effectExtent l="0" t="0" r="0" b="4445"/>
              <wp:wrapNone/>
              <wp:docPr id="1104933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33925" name="Picture 1104933925"/>
                      <pic:cNvPicPr/>
                    </pic:nvPicPr>
                    <pic:blipFill>
                      <a:blip r:embed="rId1">
                        <a:extLst>
                          <a:ext uri="{28A0092B-C50C-407E-A947-70E740481C1C}">
                            <a14:useLocalDpi xmlns:a14="http://schemas.microsoft.com/office/drawing/2010/main" val="0"/>
                          </a:ext>
                        </a:extLst>
                      </a:blip>
                      <a:stretch>
                        <a:fillRect/>
                      </a:stretch>
                    </pic:blipFill>
                    <pic:spPr>
                      <a:xfrm>
                        <a:off x="0" y="0"/>
                        <a:ext cx="7546372" cy="986155"/>
                      </a:xfrm>
                      <a:prstGeom prst="rect">
                        <a:avLst/>
                      </a:prstGeom>
                    </pic:spPr>
                  </pic:pic>
                </a:graphicData>
              </a:graphic>
              <wp14:sizeRelH relativeFrom="page">
                <wp14:pctWidth>0</wp14:pctWidth>
              </wp14:sizeRelH>
              <wp14:sizeRelV relativeFrom="page">
                <wp14:pctHeight>0</wp14:pctHeight>
              </wp14:sizeRelV>
            </wp:anchor>
          </w:drawing>
        </w:r>
        <w:r w:rsidRPr="00160342">
          <w:rPr>
            <w:color w:val="FFFFFF" w:themeColor="background1"/>
          </w:rPr>
          <w:fldChar w:fldCharType="begin"/>
        </w:r>
        <w:r w:rsidRPr="00160342">
          <w:rPr>
            <w:color w:val="FFFFFF" w:themeColor="background1"/>
          </w:rPr>
          <w:instrText xml:space="preserve"> PAGE   \* MERGEFORMAT </w:instrText>
        </w:r>
        <w:r w:rsidRPr="00160342">
          <w:rPr>
            <w:color w:val="FFFFFF" w:themeColor="background1"/>
          </w:rPr>
          <w:fldChar w:fldCharType="separate"/>
        </w:r>
        <w:r>
          <w:rPr>
            <w:noProof/>
            <w:color w:val="FFFFFF" w:themeColor="background1"/>
          </w:rPr>
          <w:t>1</w:t>
        </w:r>
        <w:r w:rsidRPr="00160342">
          <w:rPr>
            <w:noProof/>
            <w:color w:val="FFFFFF" w:themeColor="background1"/>
          </w:rPr>
          <w:fldChar w:fldCharType="end"/>
        </w:r>
      </w:p>
    </w:sdtContent>
  </w:sdt>
  <w:p w14:paraId="712B4CC2" w14:textId="77777777" w:rsidR="0026052F" w:rsidRDefault="0026052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0276" w14:textId="77777777" w:rsidR="00CF13C5" w:rsidRDefault="00CF13C5">
      <w:pPr>
        <w:spacing w:before="0" w:line="240" w:lineRule="auto"/>
      </w:pPr>
      <w:r>
        <w:separator/>
      </w:r>
    </w:p>
  </w:footnote>
  <w:footnote w:type="continuationSeparator" w:id="0">
    <w:p w14:paraId="7C1C1D15" w14:textId="77777777" w:rsidR="00CF13C5" w:rsidRDefault="00CF13C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FB92" w14:textId="77777777" w:rsidR="0026052F" w:rsidRDefault="000223AF">
    <w:pPr>
      <w:pStyle w:val="utrang"/>
    </w:pPr>
    <w:r>
      <w:rPr>
        <w:noProof/>
      </w:rPr>
      <w:drawing>
        <wp:anchor distT="0" distB="0" distL="114300" distR="114300" simplePos="0" relativeHeight="251659264" behindDoc="1" locked="0" layoutInCell="1" allowOverlap="1" wp14:anchorId="39FD4B96" wp14:editId="45498279">
          <wp:simplePos x="0" y="0"/>
          <wp:positionH relativeFrom="page">
            <wp:posOffset>-38100</wp:posOffset>
          </wp:positionH>
          <wp:positionV relativeFrom="paragraph">
            <wp:posOffset>-542290</wp:posOffset>
          </wp:positionV>
          <wp:extent cx="7475220" cy="982518"/>
          <wp:effectExtent l="0" t="0" r="0" b="8255"/>
          <wp:wrapNone/>
          <wp:docPr id="1467429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29931" name="Picture 1467429931"/>
                  <pic:cNvPicPr/>
                </pic:nvPicPr>
                <pic:blipFill>
                  <a:blip r:embed="rId1">
                    <a:extLst>
                      <a:ext uri="{28A0092B-C50C-407E-A947-70E740481C1C}">
                        <a14:useLocalDpi xmlns:a14="http://schemas.microsoft.com/office/drawing/2010/main" val="0"/>
                      </a:ext>
                    </a:extLst>
                  </a:blip>
                  <a:stretch>
                    <a:fillRect/>
                  </a:stretch>
                </pic:blipFill>
                <pic:spPr>
                  <a:xfrm>
                    <a:off x="0" y="0"/>
                    <a:ext cx="7475220" cy="9825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AF"/>
    <w:rsid w:val="000223AF"/>
    <w:rsid w:val="001F1930"/>
    <w:rsid w:val="0026052F"/>
    <w:rsid w:val="003F498B"/>
    <w:rsid w:val="00421E9E"/>
    <w:rsid w:val="0058609A"/>
    <w:rsid w:val="00794FDA"/>
    <w:rsid w:val="00B07E43"/>
    <w:rsid w:val="00CF13C5"/>
    <w:rsid w:val="00F2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4568"/>
  <w15:chartTrackingRefBased/>
  <w15:docId w15:val="{117BF510-1E72-4934-A482-628E9386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223AF"/>
    <w:pPr>
      <w:spacing w:before="120" w:after="0" w:line="340" w:lineRule="exact"/>
    </w:pPr>
    <w:rPr>
      <w:rFonts w:ascii="Times New Roman" w:hAnsi="Times New Roman"/>
      <w:kern w:val="2"/>
      <w:sz w:val="26"/>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0223AF"/>
    <w:pPr>
      <w:tabs>
        <w:tab w:val="center" w:pos="4680"/>
        <w:tab w:val="right" w:pos="9360"/>
      </w:tabs>
      <w:spacing w:before="0" w:line="240" w:lineRule="auto"/>
    </w:pPr>
  </w:style>
  <w:style w:type="character" w:customStyle="1" w:styleId="utrangChar">
    <w:name w:val="Đầu trang Char"/>
    <w:basedOn w:val="Phngmcinhcuaoanvn"/>
    <w:link w:val="utrang"/>
    <w:uiPriority w:val="99"/>
    <w:rsid w:val="000223AF"/>
    <w:rPr>
      <w:rFonts w:ascii="Times New Roman" w:hAnsi="Times New Roman"/>
      <w:kern w:val="2"/>
      <w:sz w:val="26"/>
      <w:szCs w:val="24"/>
      <w14:ligatures w14:val="standardContextual"/>
    </w:rPr>
  </w:style>
  <w:style w:type="paragraph" w:styleId="Chntrang">
    <w:name w:val="footer"/>
    <w:basedOn w:val="Binhthng"/>
    <w:link w:val="ChntrangChar"/>
    <w:uiPriority w:val="99"/>
    <w:unhideWhenUsed/>
    <w:rsid w:val="000223AF"/>
    <w:pPr>
      <w:tabs>
        <w:tab w:val="center" w:pos="4680"/>
        <w:tab w:val="right" w:pos="9360"/>
      </w:tabs>
      <w:spacing w:before="0" w:line="240" w:lineRule="auto"/>
    </w:pPr>
  </w:style>
  <w:style w:type="character" w:customStyle="1" w:styleId="ChntrangChar">
    <w:name w:val="Chân trang Char"/>
    <w:basedOn w:val="Phngmcinhcuaoanvn"/>
    <w:link w:val="Chntrang"/>
    <w:uiPriority w:val="99"/>
    <w:rsid w:val="000223AF"/>
    <w:rPr>
      <w:rFonts w:ascii="Times New Roman" w:hAnsi="Times New Roman"/>
      <w:kern w:val="2"/>
      <w:sz w:val="26"/>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2.jpg"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Van Trung</cp:lastModifiedBy>
  <cp:revision>2</cp:revision>
  <dcterms:created xsi:type="dcterms:W3CDTF">2026-07-17T14:15:00Z</dcterms:created>
  <dcterms:modified xsi:type="dcterms:W3CDTF">2026-07-17T14:15:00Z</dcterms:modified>
</cp:coreProperties>
</file>